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</w:t>
      </w:r>
      <w:r w:rsidDel="00000000" w:rsidR="00000000" w:rsidRPr="00000000">
        <w:rPr>
          <w:rtl w:val="0"/>
        </w:rPr>
        <w:t xml:space="preserve">              64 x 0,5 mm (utilizado software de reconstrução iterativa para redução de dose de radiação)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Opacidades em vidro fosco e nódulos pulmonares bilaterais, alguns deles confluentes formando pequenas consolidações, mais numerosos nos lobos inferiores. A princípio deve ser considerada a possibilidade de etiologia inflamatória / infecciosa, no entanto é conveniente realização de exame para controle de cura.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Hilos pulmonares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Estruturas vasculares do mediastino com trajeto e diâmetro normais. Ateromatose, especialmente coronariana.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/>
      </w:pPr>
      <w:r w:rsidDel="00000000" w:rsidR="00000000" w:rsidRPr="00000000">
        <w:rPr>
          <w:rtl w:val="0"/>
        </w:rPr>
        <w:t xml:space="preserve">Alargamento do hiato esofágico.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Esteatose hepática.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Gilberto Szarf CRM 79477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Gilberto Szarf CRM 79477 e Dr. Fernando Uliana Kay CRM 108261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