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Enfisema centrolobular com predomínio nos campos pulmonares superiores.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Pequenos nódulos pulmonares medindo até 0,4 cm e sem calcificação evidente esparsos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bilaterais, inespecíficos.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na base pulmonar esquerda.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Ateromatose com stents coronarianos. Calcificação valvar aórtica.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Espondilose dorsal incipiente.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Formações compatíveis com elastofibromas dorsais bilaterais.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da transição toracoabdominal evidenciam fígado com contornos serrilhados denotando hepatopatia crônica, ectasia da veia porta, esplenomegalia, cálculos na vesícula biliar.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 relação ao estudo tomográfico de 13/02/2012, identificam-se novos nódulos pulmonares agrupados no lobo superior direito, que a princípio, por sua distribuição, podem corresponder a preenchimento de pequenas vias aéreas e para os quais sugere-se controle evolutivo. Não se observam outras alterações evolutivas significativas.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Lilian Albieri CRM 121011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Gilberto Szarf CRM 79477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