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PAREDE TORÁCICA POSTERIOR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as técnicas de fast spin-eco e stir, com sequências pesadas em T1 eT2, com aquisição multiplanar, pré e pós contraste endovenoso,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Demarcado com cápsula gelatinosa local referido de dor pelo paciente, em região dorsal alta 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de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de partes moles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Rombóide e demais grupamentos musculares com morfologia, sinal e contornos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sinais de rotura, hematomas tampouco coleções intramusculares.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Trajeto do nervo torácico longo livre, sem evidência de processos expansivos sólidos ou císticos em sua topografia.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Hipersinal difuso da porção central na medula espinhal torácica que pode corresponder a seringomielia do canal medular. Sugiro, à critério clínico, correlação com ressonância magnética da medula espinhal com contraste endovenoso.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Realizado por: Dr. Hamilton Picolo Guidorizzi - CRM 80078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Hamilton Picolo Guidorizzi - CRM 80078 e Dr. João Carlos Rodrigues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