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EV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hipovascularizada lobulada no segmento superior do lobo inferior esquerdo com conteúdo liquefeito em seu interior formando nível líquido. Há consolidação do parênquima pulmonar posteriormente a esta lesão estendendo-se até a superfície pleural e a fissura longitudinal que se apresentam discretamente espessadas. Esta lesão envolve o brônquio segmentar do segmento superior do lobo inferior. São caracterizadas imagens circunscritas e hipodensas junto ao hilo pulmonar esquerdo compatíveis com linfonodomegalias com até 1,8 cm e também nas cadeias da janela aortopulmonar e paratraqueais inferior e superior à direita. Mede 3,5 x 3,7 x 4,2 cm. Os achados podem representar lesão de natureza neoplásica com área de necrose e liquefação central, admitindo diagnóstico diferencial mais remoto com abscesso pulmonar. Sugere-se a critério clínico correlação com broncoscopia / biópsia.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Traquéia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calibre normais. Raras calcificações parietais nos aorta descendente e troncos supra-aórticos.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ELLISON FERNANDO CARDOSO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ELLISON FERNANDO CARDOSO e Dr. RENATO ALONSO MORON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