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ALTA RESOLUÇÃO DOS PULMÕES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64 x 0,5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evidências de derrame pleural no presente estudo (tendo em vista a proximidade em relação à RM da Coluna Dorsal de 11/05/13, é possível que a imagem vista naquele exame correspondesse a tecido adiposo extrapleural simulando derrame).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 de contornos lobulados no lobo inferior direito, medindo 0,7 cm, de aspecto incartacterístico. Sugere-se controle evolutivo em 3 meses.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Raros diminutos nódulos menores que 0,3 cm no parênquima pulmonar, muito provavelmente desprovidos de significado clínico, um deles inclusive parecendo estar calcificado.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do parênquima com atenuação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Hilos pulmonares livres. Ausência de linfonodomegalias mediastinais.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Traquéia e brônquios principais pérvios de calibre conservado.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vasculares mediastinais com trajetos e calibres normais.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