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RADIOGRAFIAS DO TÓRAX (FRENTE E PERFIL)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Atitude escoliótica com convexidade à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Seios costofrênicos livres.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Opacidades alveolares nodulares no lobo inferior esquerdo e outra na língula medindo até 2,3 e 1,2 cm respectivamente (mediam 3,1 cm e 1,8 cm respectivamente em 26/02/2013), favorecendo a possibilidade de processo infeccioso. Sugere-se controle radiográfico em não menos que 30 dias.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mais esta evidente a opacidade nodular no lobo superior direito.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Índice cardiotorácico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se observa alargamento mediastinal.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