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de Baixa-Dose Para Rastreamento do Pulmão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Relatório Estruturado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exame: Controle de Achado (exames anteriores no PACS de 20/01/2012 e 02/02/2011)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Número total de nódulos não calcificados: 9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#Nódulo: 1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É um nódulo novo? Observado previamente, estável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Endobrônquico? Não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Localização: LSE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Distância da pleura costal: 15,01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Comprimento: 2,19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Largura máxima: 5,78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Consistência do nódulo: sólido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Contornos regulares? sim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Calcificações Benignas? não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Espiculações/Pleural tag? não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Alteração parenquimatosa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adjacente (1cm)? não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Série (localização): 4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Imagem inicial (localização): 109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Imagem final (localização): 113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Status do nódulo: sem alteração em 2 anos (provavelmente benigno)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Recomendação: manter o rastreamento conforme indicação clínica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Achados adicionais e Comentários: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Todos os demais nódulos abaixo de 4 mm de diâmetro.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Placas pleurais bilaterais, incluindo a superfície diafragmática, sugestivas de pleuropatia por exposição a asbestos.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Espaços aéreos de enfisema centrolobular e parasseptal, mais evidentes nos lobos superiores.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Tênue vidro fosco e reticulado subpleural nos lobos inferiores, lobo médio e língula. Bandas parenquimatosas nas bases pulmonares.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Formação nodular alongada polipóide com atenuação predominante de gordura localizada na parede posterior do terço médio do esôfago (no nível da carina), medindo cerca de 1,4 x 2,2 x 4,3 cm. Dentre as hipóteses diagnósticas, considerar as possibilidades de pólipo fibrovascular ou outras lesões esofágicas de linhagem lipomatosa.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Ginecomastia bilateral.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