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TÓRAX E ALTA RESOLUÇÃO DOS PULMÕES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Método: Helicoidal - Multislice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Colimação: 64 x 0,5 mm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Contraste: Não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ANÁLISE: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Escoliose toracolombar com convexidade para a direita.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Espaços pleurais virtuais.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Atelectasias laminares nas bases.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Pequeno nódulo sem calcificações evidentes no segmento basal lateral do lobo inferior esquerdo com 0,7 cm, inespecífico, estável em relação ao estudo de 16/09/11, ainda merecendo controle em um intervalo de 6 a 12 meses.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Opacidades atelectásicas nas bases e pequenas imagens nodulares compatíveis com impactações mucoides à esquerda.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Restante do parênquima pulmonar com atenuação normal.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Hilos pulmonares livres.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Ausência de linfonodomegalias mediastinais.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Traqueia e brônquios-fonte pérvios, de calibre preservado.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Estruturas vasculares do mediastino com trajeto e diâmetro normais.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