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irregularidade na cortical externa do segmento anterior do terceiro arco costal direito, sem desvios.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Mínimo derrame pleural bilateral, mais evidente à direita.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das paredes brônquicas, mais evidente nas bases onde se associam focos de impactação mucóide, provavelmente relacionados à broncoaspiração recorrente. Não há consolidação alveolar.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enfisema centrolobular e parasseptal com predomínio nos ápices.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esparsas em ambos os pulmões.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 não calcificado com 0,8 cm na periferia do lobo superior direito, inespecífico, sendo conveniente 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Volume cardíaco aumentado. Estruturas vasculares do mediastino discreta e difusamente ectasiadas com calcificações parietais.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Discreta ginecomastia bilateral.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Volumosa hérnia gástrica hiatal com sinais de espessamento do esôfago distal.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Cistos renais.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