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80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em relação ao estudo de 26/05/2012.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antiga do 5º arco costal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Surgiu discreta opacidade em vidro fosco no segmento lingular superior, incaracterística. Conveniente 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mais estão evidentes os múltiplos pequenos nódulos não calcificados esparsos por ambos os pulmões, corroborando a hipótese de etiologia inflamatória.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adicionais: microcálculos não obstrutivos em ambos os rins.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