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ANGIOTOMOGRAFIA DE CORONÁRIAS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Método: Multislice com 320 fileiras de detectores.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Colimação: 0,5 mm de espessura, com acoplamento eletrocardiográfico.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Contraste: Iodado endovenoso não iônico (350 mg/ml).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Medicações: Propanolol 40 mg VO / Isossorbida 2 mg sublingual.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ANÁLISE: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Fase sem contraste (Escore de cálcio):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CORONARIA ESCORE VOLUME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Tronco Coronária Esquerda 47 35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Descendente Anterior 475 366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Circunflexa 52 55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Coronária direita 6 11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 580 467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Paciente com escore de cálcio no percentil 75-90 para a faixa etária e sexo.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Fase com Contraste: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Coronária direita dominante.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Tronco da coronária esquerda com placa calcificada determinando irregularidades. Bifurca descendente anterior e circunflexa.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Artéria descendente anterior com extensas placas calcificadas no terço proximal e médio, que limitam a análise destes segmentos, havendo sinais de severa redução luminal no terço médio. Primeiro ramo diagonal de grande calibre com discreta redução luminal proximal.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Artéria circunflexa com irregularidades esparsas. Primeiro ramo marginal de grande calibre com placas mistas no terço proximal determinando discreta redução luminal.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Coronária direita com placas mistas determinando discreta redução luminal no terço distal. Artéria descendente posterior e ventricular posterior com irregularidades.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Achados adicionais: Calcificações valvares mitral e aórtica. Esteatose hepática..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Quantificação do grau de redução luminal: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discreta:&lt; 50%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moderada: 50% a 70%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severa: &gt;70%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crítica&gt;90%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CONCLUSÃO: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Grande quantidade de placas coronarianas calcificadas com escore de cálcio de 580, no percentil 75-90 para faixa etária e sexo.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Artéria descendente anterior com extensas placas calcificadas, apresentando sinais de severa redução luminal no terço médio. Sugerimos correlação com estudo funcional, pois a presença de extensas placas calcificadas pode superestimar o grau de redução luminal.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