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 aquisição volumétrica multislice e processadas reconstruções multiplanares e com protocolo de alta resolução, após a injeção endovenosa do meio de contraste iodado.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Nódulos de até 0,4 cm esparsos bilateralmente, incaracterísticos, predominando na corticalidade pulmonar, alguns com interface pleural.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calcificado medindo 0,5 cm no segmento ápicoposterior esquerdo, de aspecto residual.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da interface pleural nos ápices pulmonares, mais evidente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Banda parenquimatosa de aspecto fibroretrátil no segmento ápicoposterior do pulmão esquerdo, residual.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calcificados infracarinal, hilares e para-aórticos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parietais na aorta, ramos supra-aórticos e nas artérias coronárias.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hipodensa e hipocaptante de contraste medindo 0,8 cm no segmento VII hepático, compatível com cisto.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expansiva heterogênea e calcificada medindo 1,5 x 1,2 cm no interior no canal vertebral ao nível de D11. Meningeoma calcificado é uma hipótese. Sugerimos correlacionar com Ressonância Magnética.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Espondiloartropatia dorso-lombar.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