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before="12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Tomografia Computadorizada de Baixa-Dose Para Rastreamento do Pulmão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Estruturado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Tipo de exame:</w:t>
      </w:r>
      <w:r w:rsidDel="00000000" w:rsidR="00000000" w:rsidRPr="00000000">
        <w:rPr>
          <w:rtl w:val="0"/>
        </w:rPr>
        <w:t xml:space="preserve">              Controle de Achado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Número total de nódulos não calcificados:</w:t>
      </w:r>
      <w:r w:rsidDel="00000000" w:rsidR="00000000" w:rsidRPr="00000000">
        <w:rPr>
          <w:rtl w:val="0"/>
        </w:rPr>
        <w:t xml:space="preserve">              3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#Nódulo: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É um nódulo novo?</w:t>
      </w:r>
      <w:r w:rsidDel="00000000" w:rsidR="00000000" w:rsidRPr="00000000">
        <w:rPr>
          <w:rtl w:val="0"/>
        </w:rPr>
        <w:t xml:space="preserve">                            Observado previamente, estável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#Nódulo: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É um nódulo novo?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Observado previamente, estável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Recomendação: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repetir TCBD em 6 meses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Escore de cálcio modificado:</w:t>
      </w:r>
      <w:r w:rsidDel="00000000" w:rsidR="00000000" w:rsidRPr="00000000">
        <w:rPr>
          <w:rtl w:val="0"/>
        </w:rPr>
        <w:t xml:space="preserve"> 343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 adicionais e Comentários: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Surgimento de tênues opacidades em vidro fosco no segmento anterior do lobo superior direito, assim como outros micronódulos centrolobulares e impactações mucoides na região anterior do lobo superior esquerdo, sugerindo discretas alterações inflamatório-infecciosas.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enfisema pulmonar.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Ateromatose, inclusive coronariana.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Pequena imagem hipoatenuante no lobo tireoidiano esquerdo.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Fernando Uliana Kay CRM 108261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Fernando Uliana Kay CRM 108261 e Dr. Rodrigo Caruso Chate CRM 100773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