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rPr>
          <w:b w:val="1"/>
          <w:sz w:val="32"/>
          <w:szCs w:val="32"/>
        </w:rPr>
      </w:pPr>
      <w:bookmarkStart w:colFirst="0" w:colLast="0" w:name="_awdm2kc111co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RADIOGRAFIA DO TÓRAX (FRENTE)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Exame realizado para controle de cateter venoso de inserção periférica.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  <w:t xml:space="preserve">Cateter introduzido no membro superior esquerdo apresentando extremidade na projeção da veia cava superior.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Nathan Elie Frenk CRM 139754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Nathan Elie Frenk CRM 139754 e Dr. Gustavo Borges da Silva Teles CRM 119969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