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before="120" w:lineRule="auto"/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Baixa-Dose Para Rastreamento do Pulmão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Relatório Estruturado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Tipo de exame:</w:t>
      </w:r>
      <w:r w:rsidDel="00000000" w:rsidR="00000000" w:rsidRPr="00000000">
        <w:rPr>
          <w:color w:val="494949"/>
          <w:rtl w:val="0"/>
        </w:rPr>
        <w:t xml:space="preserve">              Estudo de Base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Número total de nódulos não calcificados:</w:t>
      </w:r>
      <w:r w:rsidDel="00000000" w:rsidR="00000000" w:rsidRPr="00000000">
        <w:rPr>
          <w:color w:val="494949"/>
          <w:rtl w:val="0"/>
        </w:rPr>
        <w:t xml:space="preserve">              11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#Nódulo:</w:t>
      </w:r>
      <w:r w:rsidDel="00000000" w:rsidR="00000000" w:rsidRPr="00000000">
        <w:rPr>
          <w:color w:val="494949"/>
          <w:rtl w:val="0"/>
        </w:rPr>
        <w:t xml:space="preserve"> 1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É um nódulo novo?</w:t>
      </w:r>
      <w:r w:rsidDel="00000000" w:rsidR="00000000" w:rsidRPr="00000000">
        <w:rPr>
          <w:color w:val="494949"/>
          <w:rtl w:val="0"/>
        </w:rPr>
        <w:t xml:space="preserve">                            Nódulo novo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Endobrônquico?</w:t>
      </w:r>
      <w:r w:rsidDel="00000000" w:rsidR="00000000" w:rsidRPr="00000000">
        <w:rPr>
          <w:color w:val="494949"/>
          <w:rtl w:val="0"/>
        </w:rPr>
        <w:t xml:space="preserve">                            Não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Localização:              </w:t>
      </w:r>
      <w:r w:rsidDel="00000000" w:rsidR="00000000" w:rsidRPr="00000000">
        <w:rPr>
          <w:color w:val="494949"/>
          <w:rtl w:val="0"/>
        </w:rPr>
        <w:t xml:space="preserve">                            LIE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Distância da pleura costal:</w:t>
      </w:r>
      <w:r w:rsidDel="00000000" w:rsidR="00000000" w:rsidRPr="00000000">
        <w:rPr>
          <w:color w:val="494949"/>
          <w:rtl w:val="0"/>
        </w:rPr>
        <w:t xml:space="preserve">              19,31 mm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Comprimento:</w:t>
      </w:r>
      <w:r w:rsidDel="00000000" w:rsidR="00000000" w:rsidRPr="00000000">
        <w:rPr>
          <w:color w:val="494949"/>
          <w:rtl w:val="0"/>
        </w:rPr>
        <w:t xml:space="preserve">                                          7,66 mm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Largura máxima:</w:t>
      </w:r>
      <w:r w:rsidDel="00000000" w:rsidR="00000000" w:rsidRPr="00000000">
        <w:rPr>
          <w:color w:val="494949"/>
          <w:rtl w:val="0"/>
        </w:rPr>
        <w:t xml:space="preserve">                            7,92 mm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Consistência do nódulo:</w:t>
      </w:r>
      <w:r w:rsidDel="00000000" w:rsidR="00000000" w:rsidRPr="00000000">
        <w:rPr>
          <w:color w:val="494949"/>
          <w:rtl w:val="0"/>
        </w:rPr>
        <w:t xml:space="preserve">              sólido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Contornos regulares?</w:t>
      </w:r>
      <w:r w:rsidDel="00000000" w:rsidR="00000000" w:rsidRPr="00000000">
        <w:rPr>
          <w:color w:val="494949"/>
          <w:rtl w:val="0"/>
        </w:rPr>
        <w:t xml:space="preserve">                            sim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Calcificações Benignas?</w:t>
      </w:r>
      <w:r w:rsidDel="00000000" w:rsidR="00000000" w:rsidRPr="00000000">
        <w:rPr>
          <w:color w:val="494949"/>
          <w:rtl w:val="0"/>
        </w:rPr>
        <w:t xml:space="preserve">              não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Espiculações/Pleural tag?</w:t>
      </w:r>
      <w:r w:rsidDel="00000000" w:rsidR="00000000" w:rsidRPr="00000000">
        <w:rPr>
          <w:color w:val="494949"/>
          <w:rtl w:val="0"/>
        </w:rPr>
        <w:t xml:space="preserve">              não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Alteração parenquimatosa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adjacente (1cm)?</w:t>
      </w:r>
      <w:r w:rsidDel="00000000" w:rsidR="00000000" w:rsidRPr="00000000">
        <w:rPr>
          <w:b w:val="1"/>
          <w:color w:val="494949"/>
          <w:rtl w:val="0"/>
        </w:rPr>
        <w:t xml:space="preserve">                             </w:t>
      </w:r>
      <w:r w:rsidDel="00000000" w:rsidR="00000000" w:rsidRPr="00000000">
        <w:rPr>
          <w:color w:val="494949"/>
          <w:rtl w:val="0"/>
        </w:rPr>
        <w:t xml:space="preserve">não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Série (localização):</w:t>
      </w:r>
      <w:r w:rsidDel="00000000" w:rsidR="00000000" w:rsidRPr="00000000">
        <w:rPr>
          <w:color w:val="494949"/>
          <w:rtl w:val="0"/>
        </w:rPr>
        <w:t xml:space="preserve">                            5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Imagem inicial (localização):              </w:t>
      </w:r>
      <w:r w:rsidDel="00000000" w:rsidR="00000000" w:rsidRPr="00000000">
        <w:rPr>
          <w:color w:val="494949"/>
          <w:rtl w:val="0"/>
        </w:rPr>
        <w:t xml:space="preserve">140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Imagem final (localização):</w:t>
      </w:r>
      <w:r w:rsidDel="00000000" w:rsidR="00000000" w:rsidRPr="00000000">
        <w:rPr>
          <w:color w:val="494949"/>
          <w:rtl w:val="0"/>
        </w:rPr>
        <w:t xml:space="preserve">              148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Status do nódulo:</w:t>
      </w:r>
      <w:r w:rsidDel="00000000" w:rsidR="00000000" w:rsidRPr="00000000">
        <w:rPr>
          <w:color w:val="494949"/>
          <w:rtl w:val="0"/>
        </w:rPr>
        <w:t xml:space="preserve">                            indeterminado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Escore de cálcio coronariano adaptado:</w:t>
      </w:r>
      <w:r w:rsidDel="00000000" w:rsidR="00000000" w:rsidRPr="00000000">
        <w:rPr>
          <w:color w:val="494949"/>
          <w:rtl w:val="0"/>
        </w:rPr>
        <w:t xml:space="preserve">  98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 adicionais e Comentários: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Irregularidades da interface pleuro-pulmonar apical.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Discreto enfisema parasseptal e centrolobular.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bronquiolite respiratória relacionada ao tabagismo.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Linfonodos nas cadeias paratraqueais e paraórticas em número discretamente aumentado, menores que 1,0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Recomendação:</w:t>
      </w:r>
      <w:r w:rsidDel="00000000" w:rsidR="00000000" w:rsidRPr="00000000">
        <w:rPr>
          <w:color w:val="494949"/>
          <w:rtl w:val="0"/>
        </w:rPr>
        <w:t xml:space="preserve">                            Considerar controle em 3 meses ou PET-CT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Fernando Uliana Kay CRM 108261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Fernando Uliana Kay CRM 108261 CRM 108261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