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Método:               </w:t>
      </w:r>
      <w:r w:rsidDel="00000000" w:rsidR="00000000" w:rsidRPr="00000000">
        <w:rPr>
          <w:rtl w:val="0"/>
        </w:rPr>
        <w:t xml:space="preserve">Helicoidal - Multislice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Colimação: </w:t>
      </w:r>
      <w:r w:rsidDel="00000000" w:rsidR="00000000" w:rsidRPr="00000000">
        <w:rPr>
          <w:rtl w:val="0"/>
        </w:rPr>
        <w:t xml:space="preserve">              16 x 1,25 mm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Contraste:               </w:t>
      </w:r>
      <w:r w:rsidDel="00000000" w:rsidR="00000000" w:rsidRPr="00000000">
        <w:rPr>
          <w:rtl w:val="0"/>
        </w:rPr>
        <w:t xml:space="preserve">Não utilizado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Enfisema centrolobular e parasseptal com predomínio nos campos pulmonares superiores.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Densificações retráteis e estrias atelectásicas associadas a bronquiectasias de tração e pequenos nódulos calcificados no segmento apicoposterior do lobo superior esquerdo e de forma pouco mais discreta no segmento apical do lobo superior direito, de aspecto fibrocicatricial.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Leve espessamento das paredes brônquicas.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identificadas duas opacidades nodulares e alongadas no lobo superior direito, ambas com bandas parenquimatosas associadas, uma apical com 0,8 cm e outra no segmento posterior com 0,6 cm, inespecíficas. Conveniente controle evolutivo tomográfico em 3 meses.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Diminutos nódulos pulmonares esparsos bilateralmente, alguns calcificados (residuais) e outros sem calcificação evidente, o maior com 0,5 cm no segmento posterior do lobo superior direito (também inespecíficos).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Atelectasias laminares na língula e lobos inferiores.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Hilos pulmonares livres.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mediastinais.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pérvios,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vasculares do mediastino com trajeto e diâmetro normais. Calcificações parietais na aorta ramos, inclusive coronarianas.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IMPRESSÃO: Controle evolutivo. Em relação à TC de tórax de 19/10/2010 surgiram algumas opacidades nodulares bilaterais, mais evidentes no lobo superior direito, sendo conveniente controle evolutivo tomográfico em 3 meses. Demais aspectos analisados evolutivamente estáveis.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Roberto Sasdelli Neto CRM 97470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Roberto Sasdelli Neto CRM 97470 e Dr. Gilberto Szarf CRM 79477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