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EV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quantidade de gás extra-pleural no campo médio à esquerda e discretas bolhas de enfisema de subcutâneo deste lado, provavelmente relacionados a manipulação cirúrgica recente.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derrame pleural à esquerda com ínfimo pneumotórax coletado no ápice.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nas bases pulmonares.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pulmonar irregular na língula, com material linear hiperdenso de permeio (fio de sutura?), medindo 4,0 cm, associado à leve retração do parênquima pulmonar adjacente.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Opacidade nodular no segmento anterior do lobo superior direito, com 1,7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Opacidades em vidro fosco no lobo médio, de aspecto inespecífico, que podem representar acometimento inflamatório / infeccioso ou eventualmente hemorragia alveolar relacionada à biópsia recente, sendo necessária a correlação com dados clínicos-laboratoriais.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Dra. Daniella Ferraro Fernandes Costa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Dra. Daniella Ferraro Fernandes Costa e Dr. Rodrigo Bastos Duarte Passos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