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DO TÓRAX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Cateter venoso central à direita com extremidade projetada na veia cava superior.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Arcabouço ósseo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opacidade heterogênea na base pulmonar direita, cuja valorização depende de correlação clínica, e sem correlação na TC de tórax de 17/09/2011.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acentuação da trama vasobrônquica de modo simétrico e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alargamento mediastinal superior e médio, que se correlaciona com os achados tomográficos de 17/09/2011.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Roberto Sasdelli Neto - CRM 97470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Roberto Sasdelli Neto - CRM 97470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