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EV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 em relação ao estudo de 21/11/2007 (tórax) 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Significativo aumento volumétrico da massa pulmonar de contornos lobulados com tênues calcificações de permeio no lobo superior direito medindo agora 7,8 x 5,4cm (antes media 6,5 x 5,3cm). Não mais observamos seu componente cavitado. A lesão apresenta íntima relação com a veia cava superior, com a croça da ázigos e com os brônquios segmentares regionais, sem redução significativa da sua luz. Nota-se ainda superfície de contato pleural sem sinais inequívocos de invasão da parede.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do nódulo pulmonar secundário no segmento superior do lobo inferior direito agora com 1,3cm. Também estão discretamente mais evidentes alguns micronódulos adjacentes à lesão.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Persiste estável linfonodomegalia hilar direita, com 1,4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do componente de partes moles das lesões escleróticas no sexto e oitavo arcos costais à esquerda, mais evidentes no estudo atual.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Lesões escleróticas na borda inferior de D2 e no manúbrio esternal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espessamento das paredes brônquicas com tênues áreas de aprisionamento aéreo nos cortes em expiração.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Persistem evolutivamente estáveis os seguintes 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pulmonar calcificado no lobo superior à direita, compatível com granuloma residual.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Discreta elevação da cúpula frênica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RODRIGO BASTOS DUARTE PASSOS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RODRIGO BASTOS DUARTE PASSOS e Dr. CESAR HIGA NOMURA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