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TÓRAX (FRENTE E PERFIL)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Osteófitos marginais em corpos vertebrais torácicos. Rarefação óssea difusa.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Seios costofrênicos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Acentuação difusa da trama vasobrônquica de modo simétrico e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opacidade heterogênea e retrocardíaca na base esquerda, cuja valorização depende de correlação clínica, uma vez que não há correlação na TC de tórax de 29/04/2011.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proeminência dos hilos pulmonares.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Índice cardiotorácico aumentado.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Aorta ateromatosa.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alargamento do mediastino superior, provavelmente relacionado ao aumento tireoideano observado na TC de 29/04/2011.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às radiografias do tórax de 29/04/2011 nota-se surgimento da acentuação difusa da trama vasobrônquica e da tênue opacidade heterogênea e retrocardíaca na base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Roberto Sasdelli Neto - CRM 97470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Roberto Sasdelli Neto - CRM 97470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