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160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Comparativamente ao estudo pregresso de 28/07/2010: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Houve redução das opacidades em vidro fosco e resolução dos focos de consolidação alveolar nos campos médios e inferiores dos pulmões, agora em grau discreto e associadas a tênue reticulado.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análise volumétrica do nódulo solitário no lobo inferior esquerdo mostrou um crescimento de 5,1% (de 919,5 mm³ a 966,7 mm³ - intervalo de seguimento de 79 dias). O tempo de duplicação é estimado em 1095 dias (a taxa de crescimento de nódulos suspeitos encontra-se entre 30 e 500 dias, com mediana de 100 dias).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descritos a seguir sem alterações evolutivas significativas: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manipulação cirúrgica no hemitórax esquerdo com material de sutura no lobo inferior.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mediastinais aumentados em número e em dimensões, sem alterações significativas em relação aos estudos prévios.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Ateromatose esparsa associada à presença de stents coronarianos.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externos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Osteófitos marginais em corpos vertebrais torácicos e lombares.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imagens obtidas na base do tórax evidenciam colecistectomia.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Roberto Sasdelli Neto - CRM 97470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Roberto Sasdelli Neto - CRM 97470 e Dr. Fernando Uliana Kay - CRM 108261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