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TOMOGRAFIA COMPUTADORIZADA DE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TÓRAX E ALTA RESOLUÇÃO DOS PULMÕES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TÉCNICA: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Método: Helicoidal - Multislice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Colimação: 64 x 0,5 mm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Contraste: Não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ANÁLISE: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Espaços pleurais virtuais.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Bandas parenquimatosas nos campos pulmonares inferiores, compatíveis com atelectasias laminares/estrias residuais.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Espessamento parietal brônquico na língula e nos lobos inferiores, mais acentuado à esquerda, onde se observa aumento do calibre dos brônquios.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Nódulos pulmonares não calcificados esparsos bilaterais, o maior no segmento basal lateral do lobo inferior direito, medindo 0,8 cm, inespecífico.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Restante do parênquima pulmonar com atenuação normal.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Hilos pulmonares livres.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Ausência de linfonodomegalias mediastinais.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Traqueia e brônquios-fonte pérvios, de calibre preservado.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Estruturas vasculares do mediastino com trajeto e diâmetro normais.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Ateromatose difusa, inclusive coronariana.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Ectasia fusiforme segmentar da aorta na transição tóraco-abdominal, com diâmetro transverso máximo de 3,6 cm, onde novamente identifica-se imagem em crescente parietal, que pode representar uma placa aterosclerótica, trombo mural ou área focal de hematoma intramural. Sugere-se seguimento de tal alteração.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Calcificação cutânea na região peitoral direita. Espessamento cutâneo na linha mediana da parede torácica posterior, próximo à transição tóraco-abdominal.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Achados abdominais descritos na tomografia direcionada para esta região realizada em 17/03/12.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Relatado por: Dr. Gilberto Szarf - CRM 79477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Revisado e Assinado Eletronicamente por: Dr. Gilberto Szarf - CRM 79477 e Dr. Rodrigo Bastos Duarte Passos - CRM 108347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pt_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