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RADIOGRAFIAS DO ESTERNO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Controle de fratura no terço superior do corpo do esterno, com pequeno desalinhamento anterior do fragmento inferior, um pequeno calo ósseo periosteal em formação.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Danilo Perussi Bianco CRM 124816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Danilo Perussi Bianco CRM 124816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