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Baixa-Dose Para Rastreamento do Pulmão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Estruturado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exame: Estudo de 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total de nódulos não calcificados: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#Nódulo: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um nódulo novo? Nódulo novo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Endobrônquico?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Localização: LSE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Distância da pleura costal: subpleural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Comprimento: 4,18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Largura máxima: 6,45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Consistência do nódulo: sólido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Contornos regulares? sim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Benignas?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Espiculações/Pleural tag?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parenquimatosa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adjacente (1cm)?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Série (localização): 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inicial (localização): 25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final (localização): 30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 do nódulo: indeterminado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Recomendação: Controle tomográfico 3 meses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Escore de cálcio coronariano adaptado: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 e Comentários: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outro nódulo mede menos de 4,0 mm.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 em vidro fosco periférica/subpleural na região basal póstero-lateral do lobo inferior direito, com pequenas áreas de consolidação e discretos broncogramas aéreos em sua periferia (esboçando o sinal do "halo invertido"), que necessita de correlação com dados clínicos para sua correta interpretação, permitindo considerar inicialmente a possibilidade de processo infeccioso / pequeno foco inflamatório. A critério clínico sugere-se controle tomográfico após o tratamento.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de alguns septos interlobulares no lobo inferior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linfonodos calcificados mediastinais e nos hilos pulmonares, de provável natureza inflamatória granulomatosa crônica.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calcificados próximos ao hilo hepático e ligamento hepatogástrico, além de calcificações no baço, também de aspecto cicatricial.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Formação ovalada hipoatenuante no pólo superior do rim direito, possivelmente cística.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