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Enfisema centrolobular difuso por ambos 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broncopatia caracterizada por espessamento difuso de paredes brônquicas, associada à opacidades centrolobulares em vidro fosco e micronodulares esparsas compatíveis com processo inflamatório / infeccioso de pequenas vias aéreas (bronquiolite).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Coexistem consolidações heterogêneas nos lobos inferiores e alguns outros focos esparsos pelo lobo médio, língula e segmento anterior do lobo superior esquerdo, compatíveis com áreas de processo infeccioso broncopneumônico, com dilatações brônquicas de permeio nos lobos inferiores.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Alguns pequenos nódulos pulmonares bilaterais, em parte calcificada (residuais), os demais não calcificados com até 0,6 cm. Embora a possibilidade de serem ao menos em parte de origem inflamatória, sugere-se controle tomográfico em 3 meses por exemplo.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Ateromatose da aorta e ramos, inclusive artérias coronárias.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retrações corticais no rim esquerdo de aspecto sequelar. Baço com contornos lobulados. Pequenos nas adrenais com até 1,4 cm à esquerda e 1,3 cm à direita estáveis desde 20/06/2008. Colecistectomia.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