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TÓRAX E ALTA RESOLUÇÃO DOS PULMÕES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-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64 x 0,5 mm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Contraste: Não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Espaços pleurais virtuais.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Consolidações nodulares com halo de vidro fosco no lobo inferior direito, obstruindo o brônquio segmentar / subsegmentar basal lateral. Associa-se ectasia brônquica e impactações mucóides brônquicas e bronquiolares distais.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Raros pequenos nódulos pulmonares não calcificados e menores que 0,5 cm esparsos bilateralmente, inespecíficos e estáveis.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Estrias retráteis nos ápices pulmonares, de aspecto cicatricial.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Finas estrias provavelmente cicatriciais no segmento superior do lobo inferior esquerdo.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manipulação cirúrgica pregressa no segmento lateral do lobo médio.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Linfonodos mediastinais pré-vasculares e para-aórticos alongados e proeminentes, menores que 1,0 cm no menor eixo (estáveis).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Artéria vertebral esquerda ramo direto da aorta (variação da normalidade). Estruturas vasculares mediastinais com calibre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de linfoma de Hodgkin. A análise comparativa com tomografia de tórax do dia 15/10/2012 demonstra um aumento significativo das consolidações nodulares no lobo pulmonar inferior direito, bem como do halo de vidro foco.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