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DO TÓRAX (FRENTE)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para controle de biópsia do pulmão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pneumotórax significativo detectável pelo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Arcabouço ósseo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opacidade heterogênea de aspecto nodular no ápice pulmonar direito, inespecífica.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acentuação da trama vasobrônquica bilateralmente.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Tênues opacidades heterogêneas nas bases pulmonares, inespecíficas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aumentado.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pouco tortuosa e com calcificações parietais.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