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CARDIOVASCULAR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Realizadas sequências cine-SSFP, FSE (black-blood) e GRE. Após a injeção do meio de contraste, foram realizadas sequências de realce tardio.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Ventrículo Esquerdo normal de: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Espessura do septo: 0,9cm (0,7 - 1,1)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Espessura da parede: 0,6cm (0,7 - 1,1)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Diâmetro diastólico final: 5cm (3,7 - 5,6)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Diâmetro sistólico final: 3,5cm (2,2 - 3,9)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diastólico final: 115,4ml (86 - 166)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diastólico final indexado: 69,5ml/m²(56 - 90)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sistólico final: 40,9ml (22 - 59)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sistólico final indexado: 24,6ml/m²(14 - 33)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ejetado (stroke volume): 74,5ml (57 - 113)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ejetado indexado: 44,9ml/m²(37 - 62)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Fração de ejeção 65% (59 - 77)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Massa 46g/m² (48 - 78)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Ventrículo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Eixo maior: 7,4cm (6,5 - 9,5)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Eixo menor: 3,6cm (2,2 - 4,4)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diastólico final: 120,6ml (81 - 166)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diastólico final indexado: 72,7ml/m² (53 - 90)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sistólico final: 57,5ml (15 - 68)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sistólico final indexado: 34,7ml/m² (11 - 37)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ejetado (stroke volume): 63,1ml (55 - 79)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Fração de ejeção 52% (40 - 60)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Átrio esquerdo: 3cm (1,9 - 4,0)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Raiz da Aorta 2,5cm (2,2 - 3,5)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Câmaras cardíacas com dimensões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Realce tardio (necrose/fibrose) acometendo a parede anterior basal do ventrículo esquerdo, com extensão para paredes septal e lateral, de predomínio mesocárdico e subepicárdico. Na sua região central, nota-se uma área de adelgaçamento muscular e acinesia, com realce tardio transmural.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segmentos cardíacos com função contrátil preservada, espessura miocárdica normal e sem áreas de fibrose/necrose.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Valvas cardíacas sem alterações anatômicas.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torácica e artéria pulmonar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Pericárdio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Estrias retráteis esparsas em ambos os pulmões.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sarcoidose cardíaca, os achados permanecem inalterados em relação ao estudo pregresso de 17/12/2011.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*Maceira AM, Prasad SK, Khan M, Pennell DJ. Normalized left ventricular systolic and diastolic function by steady state free precession cardiovascular magnetic resonance. J Cardiovasc Magn Reson. 2006;8(3):417-26. PubMed PMID:16755827.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*Maceira AM, Prasad SK, Khan M, Pennell DJ. Reference right ventricular systolic and diastolic function normalized to age, gender and body surface area from steady-state free precession cardiovascular magnetic resonance. Eur Heart J. 2006 Dec;27(23):2879-88. Epub 2006 Nov 6. PubMed PMID: 17088316.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