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TÓRAX E ALTA RESOLUÇÃO DOS PULMÕES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Helicoidal - Multislice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Colimação: 16 x 2,0 mm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Contraste: Não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Espaços pleurais virtuais.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Moderado enfisema centrolobular e parasseptal com predomínio nos campos pulmonares superiores.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Discreto espessamento difuso das paredes brônquicas, com algumas impactações mucoides esparsas.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Atelectasias laminares nas duas bases pulmonares e no lobo médio.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Pequena opacidade nodular em vidro fosco no segmento superior do lobo inferior direito, medindo 0,9 cm, não caracterizado no estudo prévio. A critério clínico, conveniente controle em 3 meses.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Linfonodos mediastinais aumentados em número, sem configurar linfonodomegalias.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Traqueia e brônquios-fonte pérvios, de calibre preservado.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Estruturas vasculares do mediastino com trajeto e diâmetro normais. Calcificações parietais aórticas, coronarianas e nos ramos supra-aórticos.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Espondilose dorsal. Tênue imagem esclerótica na medular do 5º arco costal esquerdo, que preserva a cortical, medindo 1,3 cm, estável em relação à tomografia de tórax de 13/09/2012.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Tireoide apresentando calcificação grosseira no seu lobo esquerdo, inespecífico.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Formação nodular com atenuação de gordura em meio às fibras do músculo subescapular esquerdo, medindo 4,7 cm, compatível com lipoma. Músculo esternalis à direita (variante anatômica). Nódulo subcutâneo no epigástrio com 0,8 cm.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imagens da transição toracoabdominal evidenciam hipertrofia do lobo esquerdo hepático, que apresenta pequenas formações hipoatenuantes, inespecíficas devido a suas pequenas dimensões, microcálculo calicinal não obstrutivo mesorrenal esquerdo e dilatação fusiforme focal da aorta abdominal, com trombo mural.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*Comparativamente à tomografia de 25/04/2013, surgiu pequena opacidade nodular em vidro fosco no lobo inferior direito e está menos evidente a opacidade de aspecto atelectásico no lobo médio. Demais achados permanecem evolutivamente inalterados.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