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de arcos costais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16 x 2,0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em relação ao exame de 07/09/2012.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Fixação metálica da clavícula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 da porção lateral do 6º ao 8º arcos costais direitos, sem desalinhamento significativo, associado a opacidades em vidro fosco no parênquima pulmonar subjacente (menos evidentes hoje).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 pregressa na porção posterior do 9º arco costal direito, com calo ósseo formado.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Mínimo espessamento pleural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esparsas.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das paredes brônquicas.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