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evolutivo, comparado à tomografia de 19/04/2013, destacando-se: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Implante de marcapasso na região peitoral direita, com extremidades dos cabos no ventrículo direito e, através do seio coronariano, em veia na topografia do sulco atrioventricular esquerdo (veia cardíaca magna).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Melhora das consolidações e das opacidades em vidro fosco de aspecto infeccioso nos lobos inferiores e no lobo médio.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Surgimento de área de opacidade em vidro fosco na porção mais anterior da língula, incaracterística.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aumento na densificação dos planos gordurosos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achados permanecem estáveis, a saber: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derrame pleural bilateral, um pouco maior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Irregularidades da interface pleuroparenquimatosa nas regiões apicais, com bolhas subpleurais.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Opacidades em vidro fosco, micronódulos e opacidades reticulares distribuídos difusamente por ambos os pulmões, com predomínio medular, associadas a distorção arquitetural e espessamento irregular de alguns septos interlobulares.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Enfisema centrolobular e parasseptal distribuído por ambos os pulmões.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linear hiperatenuante no segmento anterior do lobo superior esquerdo (sutura).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Linfonodos mediastinais aumentados em número, proeminentes, medindo até 1,2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Ectasia do segmento ascendente da aorta (4,4 cm). Ectasia do tronco da artéria pulmonar (4,3 cm) e dos seus ramos (3,0 cm à direita e 2,9 cm à esquerda).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Cardiomegalia, predominantemente à custa das câmaras esquerdas.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Acentuada ateromatose difusa, inclusive coronariana. Sinais de revascularização miocárdica. Prótese metálica na valva aórtica. Cabo de marcapasso epicárdico.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Esternorrafia metálica. Edema de planos subcutâneos.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da transição toracoabdominal: hipodensidades focais esparsas pelo parênquima hepático, medindo até 1,5 cm; sinais de nefropatia crônica à esquerda; pequenos cistos corticais renais bilaterais, medindo até 2,5 cm.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