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espessamento/derrame pleural basal posterior e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basais bilaterais, mais evidentes nas regiões posteriores, por vezes associadas a opacidades reticulares, estáveis desde 21/07/2011.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difuso de paredes brônquicas.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Artefatos de movimentação respiratória do paciente durante a aquisição das imagens limitam a avaliação de parte do parênquima pulmonar.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ectasia e tortuosidade difusas da aorta torácica e dos ramos supra-aórticos (aorta ascendente com 4,1 cm), com calcificações parietais esparsas, presentes também nas artérias coronárias.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Tireoide com atenuação heterogênea e dimensões discretamente aumentadas, insinuando-se no mediastino superior. Pequeno nódulo hipoatenuante inferior e adjacente ao lobo tireoidiano esquerdo, com 1,7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Alterações degenerativas osteoarticulares esparsas. Sequelas traumáticas costais bilaterais.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evolutivo. Exame sem alterações significativas em relação à TC de tórax de 24/05/2013.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