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Mínimo derrame pleural,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difuso das paredes brônquicas, predominando nos lobos pulmonares inferiores, alguns deles com discreta quantidade de secreção endoluminal.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Mínimas opacidades em vidro fosco bilaterais predominantemente basais, não se caracterizando, contudo, focos de consolidação alveolar.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 parenquimatosa retrátil com bronquiectasias de tração e calcificações de permeio na região apicoposterior do lobo superior direito, de aspecto grosseiramente nodular (conveniente controle evolutivo).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Finas estrias também retráteis e discretas bronquiectasias no lobo superior esquerdo, sugerindo alterações crônicas / cicatriciais.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Raros e diminutos nódulos pulmonares de até 0,4 cm sem calcificação evidente, esparsos e bilaterais (inespecíficos e evolutivamente estáveis).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mediastinais numerosos e proeminentes, sem configurar linfonodomegalias.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Ectasia do tronco da artéria pulmonar (medindo 3,5 cm) e seus ramos, sugerindo hipertensão pulmonar. Leve ectasia e tortuosidade da aorta torácica (3,8 cm no segmento ascendente) e dos ramos supra-aórticos. Ateromatose aortocoronariana.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Cardiomegalia principalmente à custa das câmaras esquerdas. Calcificações na valva aórtica e mitral.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Marcapasso implantado na região peitoral direita com extremidades dos cabos nas câmaras cardíacas direitas.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Ectasia gasosa esofágica com conteúdo de estase no seu interior. Alargamento do hiato esofágico / hérnia gástrica hiatal.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Rarefação óssea difusa. Discreta espondilose dorsal. Sequelas de fraturas em alguns arcos costais bilaterais.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Comparativamente à tomografia de 19/04/2013, surgiu mínimo derrame pleural bilateral. Não surgiram opacidades pulmonares novas. Demais achados permanecem evolutivamente inalterados.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