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ANGIOTOMOGRAFIA DE CORONÁRIAS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TÉCNICA: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Método: Multislice com 320 fileiras de detectores.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Colimação: 0,5 mm de espessura, com acoplamento eletrocardiográfico.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Contraste: Iodado endovenoso não iônico (350 mg/ml).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Medicações: Seloken 5 mg EV / Isossorbida 3 mg sublingual.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ANÁLISE: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Fase sem contraste (Escore de cálcio):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CORONARIA ESCORE VOLUME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Tronco Coronária Esquerda 0 0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Descendente Anterior 0 0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Circunflexa 0 0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Coronária direita 0 0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TOTAL 0 0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Paciente com escore de cálcio zero.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Fase com Contraste: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Coronária esquerda dominante.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Tronco da coronária esquerda com trajeto e calibre normal, bifurcando em descendente anterior e circunflexa.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Artéria descendente anterior com pequenas placas não calcificadas determinando irregularidades no terço médio.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Primeiro e segundo ramos marginais de moderado calibre, sem redução luminal.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Artéria circunflexa com trajeto e calibre normal. Primeiro e segundo ramos marginais de grande calibre, sem redução luminal. Artéria descendente posterior e ventricular posterior com trajeto e calibre normais.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Coronária direita irriga apenas o ventrículo direito e apresenta origem anômala no seio coronariano esquerdo, com trajeto entre a aorta e a artéria pulmonar, havendo sinais de compressão e discreta redução luminal.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Quantificação do grau de redução luminal: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 discreta:&lt; 50%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 moderada: 50% a 70%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 acentuada: &gt;70%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Achados adicionais: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Múltiplos pequenos nódulos pulmonares não calcificados com até 0,6 cm esparsos, de aspecto indeterminado.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CONCLUSÃO: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Escore de cálcio zero.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Origem anômala da coronária direita do seio de Valsalva esquerdo, apresentando trajeto entre a aorta e a artéria pulmonar com discreta redução luminal.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Múltiplos pequenos nódulos pulmonares não calcificados de aspecto indeterminado. Conveniente controle evolutivo com TC de Tórax. 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