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COMPUTADORIZADA DA AORTA TORÁCICA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 helicoidal / multislice, após a injeção venosa do meio de contraste iodado não-iônico. Realizadas reconstruções multiplanares e tridimensionais.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Dilatação fusiforme da aorta ascendente até o joelho anterior da croça, com diâmetro transverso máximo de 4,8 cm. Demais segmentos aórticos com trajeto e calibre preservados. Discretas calcificações parietais na croça da aorta. Não há reduções luminais ou sinais de dissecção.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de folhetos valvares aórticos.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Ramos supra-aórticos com trajeto e calibre preservado nos segmentos acessíveis.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Aortometria: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 de Valsalva: 4,4 x 4,4 x 4,2 cm; Junção sinotubular: 4,2 cm; Segmento tubular ascendente: 4,8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Joelho anterior da croça: 4,2 cm; Segmento médio da croça: 3,2 cm; Joelho posterior da croça: 2,8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descendente proximal: 2,6 cm; Transição toracoabdominal: 2,5 cm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Fraturas consolidadas no segmento lateral do 4º e 5º arcos costais à esquerda. Sequela de fratura antiga no 4º arco costal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Alguns pequenos nódulos pulmonares menores que 0,5 cm esparsos bilateralmente, um deles calcificado na região basal posterior esquerda (residual) e os demais inespecíficos.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dos pulmões incluídos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 principais pérvios, de contornos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vasculares mediastinais com calibre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Exame de controle evolutivo, sem alterações significativas em relação ao último estudo realizado em 23/10/2012.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