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Derrame pleural laminar à direita e em mínimo volume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Consolidações com componente atelectásico nas porções posteriores de ambos os lobos pulmonares inferiores, mais evidentes à esquerda, notando-se brônquios com paredes espessadas e algumas imagens de impacção mucoide de permeio. Achados semelhantes, em menor intensidade, também são caracterizados nos segmentos posteriores dos lobos superiores, no lobo médio e na língula, onde também se observam pequenas opacidades broncocêntricas, por vezes com aspecto nodular irregular.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Enfisema centrolobular bilateral, mais exuberante nos lobos superiores.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mais evidentes que o habitual em algumas cadeias mediastinais, medindo até cerca de 1,0 cm no menor eixo.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em ?bainha de sabre? (achado usual na doença pulmonar obstrutiva crônica).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ectasia difusa da aorta ascendente (4,1 cm). Raras calcificações parietais na aorta e em seus ramos, inclusive coronarianas.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valvares aórticas. Derrame pericárdico laminar.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Glândula tireoide aumentada e heterogênea.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Fraturas em consolidação de vários arcos costais bilaterais e no corpo do esterno. Rarefação óssea difusa. Elastofibromas subescapulares.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evolutivo. Em relação à TC de tórax de 29/04/2013 nota-se: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aumento derrame pleural à direita, agora laminar.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Houve aumento do componente atelectásico nas opacidades das bases pulmonares.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Retirada a sonda digestiva.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aspectos analisados estáveis.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