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âNGIO-RESSONÂNCIA MAGNÉTICA da aorta tóraco-abdominal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Foram realizadas seqüências multiplanares FSE e GRE ponderadas em T1 e T2, antes e após a injeção endovenosa de contraste paramagnético, incluindo séries de ângio-RM 3D.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evolutivo. O exame atual é comparado com aquele realizado em 28/05/07: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Troncos supra-aórticos afilados, um achado que será mais bem avaliado no estudo dirigido.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Novamente observamos aorta torácica com paredes discreta e difusamente espessadas, notadamente na croça e no segmento descendente proximal, nesta última topografia apresentando redução moderada do calibre luminal (diâmetro luminal mínimo de 1,4 cm).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torácica descendente médio-distal, e aorta abdominal proximal, com calibres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parietal com redução difusa do calibre da aorta abdominal infra-renal, destacando-se hipersinal em T2 e realce parietal, indicando atividade inflamatória.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Estenose focal moderada da aorta abdominal distal logo acima da bifurcação.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Calibres máximos aórticos: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torácica ascendente: 3,4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croça: 2,6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torácica descendente proximal: 1,7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torácica descendente distal: 2,0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transição tóraco-abdominal: 2,2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 da emergência do tronco celíaco: 2,1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plano da emergência das renais: 1.5 cm;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segmento distal: 1.2 cm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celíaco e artéria mesentérica superior pérvios, com calibres preservados. Artéria hepática direita ramo da mesentérica superior, e artéria hepática esquerda ramo da gástrica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Estenose moderada no segmento proximal da artéria renal direita, de aspecto regular.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Estenose moderada multifocal do segmento proximal da artéria renal esquerda, discretamente irregular, com discreta redução das dimensões deste rim (conservando boa concentração do meio de contraste).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ilíacas comuns pérvias, discreta e difusamente afiladas.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Conclusão: Controle de arterite de Takayasu, sem alterações evolutivas significativas quando comparado ao exame de 28/05/07.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