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Imagem nodular hipoatenuante no lobo tireoidiano esquerdo.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mediastinais com calibre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Traquéia e brônquios principais pérvios, de contornos regulares.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difuso de paredes brônquicas.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Raras bolhas de enfisema pulmonar bilaterais.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Micronódulos pulmonares menores que 0,5 cm no segmento superior do lobo inferior direito e justafissural neste mesmo pulmão, achado freqüente e geralmente desprovido de significado clínico.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Tênue opacidade subpleural em vidro fosco no lobo superior do pulmão esquerdo, inespecífica (a critério clínico sugere-se controle evolutivo em cerca de 6 meses).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dos pulmões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Lesão lítica com bordos escleróticos no terço proximal da clavícula esquerda, sugestiva de lesão de baixa agressividade (lesão fibrosa?).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