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COMPUTADORIZADA DO TÓRAX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PESQUISA DE TROMBOEMBOLISMO PULMONAR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EV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Angiotomografia negativa para tromboembolismo pulmonar.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sinais de trombose venosa profunda nos segmentos estudados do abdome e membros inferiores (até o nível poplíteo).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mediastinais com calibre normal. Ateromatose esparsa.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hérnia de hiato.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Traquéia e brônquios principais pérvios, de contornos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Linfonodos calcificados no hilo esquerdo, residuais.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calcificados nos lobos superior direito e inferior esquerdo, de aspecto seqüelar.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enfisema centrolobular e parasseptal com predomínio nos ápices, notando-se bolha de 3,0 cm apical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espessamento difuso das paredes brônquicas.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nódulos não calcificados com até 0,4 cm localizados nos lobos superior, médio e inferior do pulmão direito, incaracterísticos (a critério clínico sugere-se controle evolutivo em cerca de 12 meses).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da interface pleuroparenquimatosa nas regiões apicais.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hipoatenuante com 2,4 cm no segmento hepático VI/VIII; pequenas calcificações esplênicas e uma hepática, residuais.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