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DO MEDIASTINO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Foram realizadas sequências multiplanares FSE e GRE ponderadas em T1 e T2, antes e após a injeção endovenosa de contraste paramagnético.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Espondilose dorsal.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Espaços pleurais virtuais.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Irregularidades da interface pleuropulmonar nos ápices, onde também se identificam diminutas imagens nodulares associadas, especialmente à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Opacidade alongada no ápice pulmonar direito com 1,3 cm, inespecífica.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se evidenciam outras alterações parenquimatosas pulmonares detectáveis à RM, ressaltando-se a inadequada eficácia do método para a avaliação dos pulmões.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Formação ovalada com contornos bem delimitados no mediastino anterior à esquerda (na loja tímica), em íntimo contato com a porção anterior do tronco da artéria pulmonar, apresentando alto sinal em T1 e T2, sem realce significativo pelo meio de contraste paramagnético. Mede cerca de 2,6 x 2,4 x 1,4 cm. Dentre as hipóteses diagnósticas, considerar a possibilidade de um cisto tímico com alto teor protéico ou hemorrágico.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vasculares mediastinais tópicas, de calibres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CONCLUSAO: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de lesão focal no mediastino anterior ocupando a loja tímica à esquerda, que se apresenta com volume estável comparativamente ao exame de 02/02/2012.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