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m="http://schemas.openxmlformats.org/officeDocument/2006/math" mc:Ignorable="w14 wp14 w15">
  <w:body>
    <w:p xmlns:wp14="http://schemas.microsoft.com/office/word/2010/wordml" w:rsidP="768AADBE" w14:paraId="672A6659" wp14:textId="77777777">
      <w:pPr>
        <w:pStyle w:val="Normal"/>
        <w:suppressLineNumbers w:val="0"/>
        <w:bidi w:val="0"/>
        <w:spacing w:before="0" w:beforeAutospacing="off" w:after="240" w:afterAutospacing="off" w:line="278" w:lineRule="auto"/>
        <w:ind w:start="0" w:end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firstRow="1" w:lastRow="0" w:firstColumn="1" w:lastColumn="0" w:noHBand="1" w:noVBand="1"/>
      </w:tblPr>
      <w:tblGrid>
        <w:gridCol w:w="2819"/>
        <w:gridCol w:w="6196"/>
      </w:tblGrid>
      <w:tr xmlns:wp14="http://schemas.microsoft.com/office/word/2010/wordml" w:rsidTr="768AADBE" w14:paraId="4BDEA687" wp14:textId="77777777">
        <w:trPr>
          <w:trHeight w:val="300" w:hRule="atLeast"/>
        </w:trPr>
        <w:tc>
          <w:tcPr>
            <w:tcW w:w="2819" w:type="dxa"/>
            <w:tcBorders>
              <w:top w:val="single" w:color="FFFFFF" w:themeColor="background1" w:sz="12" w:space="0"/>
              <w:start w:val="single" w:sz="12" w:space="0" w:color="FFFFFF"/>
              <w:bottom w:val="single" w:color="FFFFFF" w:themeColor="background1" w:sz="12" w:space="0"/>
              <w:end w:val="single" w:sz="12" w:space="0" w:color="FFFFFF"/>
            </w:tcBorders>
            <w:tcMar/>
          </w:tcPr>
          <w:p w:rsidP="768AADBE" w14:paraId="0A37501D" wp14:textId="77777777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drawing>
                <wp:inline xmlns:wp14="http://schemas.microsoft.com/office/word/2010/wordprocessingDrawing" wp14:editId="56A728AC" wp14:anchorId="33DF7236">
                  <wp:extent cx="1657350" cy="828675"/>
                  <wp:effectExtent l="0" t="0" r="0" b="0"/>
                  <wp:docPr id="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dra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6" w:type="dxa"/>
            <w:tcBorders>
              <w:top w:val="single" w:color="FFFFFF" w:themeColor="background1" w:sz="12" w:space="0"/>
              <w:start w:val="single" w:sz="12" w:space="0" w:color="FFFFFF"/>
              <w:bottom w:val="single" w:color="FFFFFF" w:themeColor="background1" w:sz="12" w:space="0"/>
              <w:end w:val="single" w:sz="12" w:space="0" w:color="FFFFFF"/>
            </w:tcBorders>
            <w:tcMar/>
          </w:tcPr>
          <w:p w:rsidP="768AADBE" w14:paraId="3BD8AD5B" wp14:textId="77777777">
            <w:pPr>
              <w:pStyle w:val="Header"/>
              <w:widowControl w:val="1"/>
              <w:bidi w:val="0"/>
              <w:spacing w:before="0" w:after="0"/>
              <w:jc w:val="both"/>
              <w:rPr>
                <w:rFonts w:ascii="Times New Roman" w:hAnsi="Times New Roman" w:eastAsia="Times New Roman" w:cs="Times New Roman"/>
                <w:lang w:val="pt-BR"/>
              </w:rPr>
            </w:pPr>
            <w:r w:rsidR="768AADBE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pt-BR" w:eastAsia="en-US" w:bidi="ar-SA"/>
              </w:rPr>
              <w:t>Universidade de Brasília – UnB</w:t>
            </w: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br/>
            </w:r>
            <w:r w:rsidR="768AADB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 w:rsidR="768AADBE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pt-BR" w:eastAsia="en-US" w:bidi="ar-SA"/>
              </w:rPr>
              <w:t>Faculdade de Economia, Administração, Contabilidade e Gestão de Políticas Públicas</w:t>
            </w: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br/>
            </w:r>
            <w:r w:rsidR="768AADB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 w:rsidR="768AADBE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pt-BR" w:eastAsia="en-US" w:bidi="ar-SA"/>
              </w:rPr>
              <w:t>Departamento de Ciências Contábeis e Atuariais</w:t>
            </w: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br/>
            </w:r>
            <w:r w:rsidR="768AADB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 w:rsidR="768AADBE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pt-BR" w:eastAsia="en-US" w:bidi="ar-SA"/>
              </w:rPr>
              <w:t>Curso de Ciências Contábeis</w:t>
            </w:r>
          </w:p>
        </w:tc>
      </w:tr>
    </w:tbl>
    <w:p xmlns:wp14="http://schemas.microsoft.com/office/word/2010/wordml" w:rsidP="768AADBE" w14:paraId="5DAB6C7B" wp14:textId="77777777">
      <w:pPr>
        <w:pStyle w:val="Normal"/>
        <w:spacing w:before="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064978EA" wp14:textId="77777777">
      <w:pPr>
        <w:pStyle w:val="Normal"/>
        <w:spacing w:before="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56"/>
          <w:szCs w:val="56"/>
          <w:u w:val="single"/>
          <w:lang w:val="pt-BR"/>
        </w:rPr>
      </w:pPr>
      <w:r w:rsidRPr="768AADBE" w:rsidR="768AA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52"/>
          <w:szCs w:val="52"/>
          <w:lang w:val="pt-BR"/>
        </w:rPr>
        <w:t>PROVA 1</w:t>
      </w:r>
    </w:p>
    <w:p xmlns:wp14="http://schemas.microsoft.com/office/word/2010/wordml" w:rsidP="768AADBE" w14:paraId="6D2A331D" wp14:textId="77777777">
      <w:pPr>
        <w:pStyle w:val="Normal"/>
        <w:spacing w:before="0" w:beforeAutospacing="off" w:after="240" w:afterAutospacing="off"/>
        <w:jc w:val="center"/>
        <w:rPr>
          <w:rFonts w:ascii="Times New Roman" w:hAnsi="Times New Roman" w:eastAsia="Times New Roman" w:cs="Times New Roman"/>
          <w:sz w:val="48"/>
          <w:szCs w:val="48"/>
          <w:lang w:val="pt-BR"/>
        </w:rPr>
      </w:pPr>
      <w:r w:rsidRPr="768AADBE" w:rsidR="768AADBE">
        <w:rPr>
          <w:rFonts w:ascii="Times New Roman" w:hAnsi="Times New Roman" w:eastAsia="Times New Roman" w:cs="Times New Roman"/>
          <w:sz w:val="52"/>
          <w:szCs w:val="52"/>
          <w:lang w:val="pt-BR"/>
        </w:rPr>
        <w:t>Finanças do Setor Público</w:t>
      </w:r>
      <w:r>
        <w:br/>
      </w:r>
    </w:p>
    <w:p xmlns:wp14="http://schemas.microsoft.com/office/word/2010/wordml" w:rsidP="768AADBE" w14:paraId="02EB378F" wp14:textId="7777777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6A05A809" wp14:textId="7777777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5A39BBE3" wp14:textId="7777777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41C8F396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3CD747B0" wp14:textId="77777777">
      <w:pPr>
        <w:pStyle w:val="Normal"/>
        <w:spacing w:before="0" w:beforeAutospacing="off" w:after="240" w:afterAutospacing="off"/>
        <w:jc w:val="left"/>
      </w:pPr>
      <w:r w:rsidRPr="768AADBE" w:rsidR="768AADB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Disciplina:</w:t>
      </w: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Finanças do Setor Público</w:t>
      </w:r>
      <w:r>
        <w:br/>
      </w:r>
      <w:r w:rsidRPr="768AADBE" w:rsidR="768AADB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Aluno:</w:t>
      </w: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Marcos Vinicius Menezes do Nascimento</w:t>
      </w:r>
      <w:r>
        <w:br/>
      </w: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68AADBE" w:rsidR="768AADB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Matrícula:</w:t>
      </w: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241021847</w:t>
      </w:r>
      <w:r>
        <w:br/>
      </w:r>
    </w:p>
    <w:p xmlns:wp14="http://schemas.microsoft.com/office/word/2010/wordml" w:rsidP="768AADBE" w14:paraId="04DB258A" wp14:textId="77777777">
      <w:pPr>
        <w:pStyle w:val="Normal"/>
        <w:spacing w:before="0" w:beforeAutospacing="off" w:after="240" w:afterAutospacing="off"/>
        <w:jc w:val="left"/>
      </w:pPr>
      <w:r w:rsidRPr="768AADBE" w:rsidR="768AADB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Repositório GitHub:</w:t>
      </w:r>
      <w:r>
        <w:br/>
      </w:r>
      <w:hyperlink r:id="R6a506ccaa1cc46fc">
        <w:r w:rsidRPr="768AADBE" w:rsidR="768AADBE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pt-BR"/>
          </w:rPr>
          <w:t>https://github.com/marcosviniciusmenezes500commits/Financas_Publicas_P1_241021847</w:t>
        </w:r>
      </w:hyperlink>
    </w:p>
    <w:p xmlns:wp14="http://schemas.microsoft.com/office/word/2010/wordml" w:rsidP="768AADBE" w14:paraId="72A3D3EC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:rsidP="768AADBE" w14:paraId="0D0B940D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:rsidP="768AADBE" w14:paraId="0E27B00A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:rsidP="768AADBE" w14:paraId="60061E4C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:rsidP="768AADBE" w14:paraId="44EAFD9C" wp14:textId="77777777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:rsidP="768AADBE" w14:paraId="6A355B8D" wp14:textId="77777777">
      <w:pPr>
        <w:pStyle w:val="Normal"/>
        <w:spacing w:before="0" w:beforeAutospacing="off" w:after="240" w:afterAutospacing="off"/>
        <w:jc w:val="center"/>
      </w:pP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>Brasília – DF</w:t>
      </w:r>
      <w:r>
        <w:br/>
      </w:r>
      <w:r w:rsidRPr="768AADBE" w:rsidR="768AADBE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2026</w:t>
      </w:r>
    </w:p>
    <w:p xmlns:wp14="http://schemas.microsoft.com/office/word/2010/wordml" w:rsidP="768AADBE" w14:paraId="47DB9FA6" wp14:textId="77777777">
      <w:pPr>
        <w:pStyle w:val="Heading4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  <w:lang w:val="pt-BR"/>
        </w:rPr>
      </w:pPr>
      <w:r w:rsidRPr="768AADBE" w:rsidR="768AADBE">
        <w:rPr>
          <w:lang w:val="pt-BR"/>
        </w:rPr>
        <w:t>1) Explique como contabilidade, auditoria, administração e economia se conectam nas finanças públicas dos países e dos entes federativos (nos casos que existem). Inclua indicador real, correlação e análise crítica.</w:t>
      </w:r>
    </w:p>
    <w:p xmlns:wp14="http://schemas.microsoft.com/office/word/2010/wordml" w:rsidP="768AADBE" w14:paraId="4B94D5A5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1583DDB7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As finanças públicas constituem um campo interdisciplinar que exige a integração sinérgica de múltiplas áreas do conhecimento para garantir uma gestão eficiente, transparente e sustentável dos recursos da sociedade. A compreensão das conexões entre essas disciplinas é fundamental para o diagnóstico e a formulação de políticas fiscais adequadas.</w:t>
      </w:r>
    </w:p>
    <w:p xmlns:wp14="http://schemas.microsoft.com/office/word/2010/wordml" w:rsidP="768AADBE" w14:paraId="3DEEC669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63DBD187" wp14:textId="77777777">
      <w:pPr>
        <w:pStyle w:val="Normal"/>
        <w:jc w:val="both"/>
      </w:pPr>
      <w:r w:rsidRPr="768AADBE" w:rsidR="768AADBE">
        <w:rPr>
          <w:lang w:val="pt-BR"/>
        </w:rPr>
        <w:t>1.1 Contabilidade Pública como Base Informacional</w:t>
      </w:r>
    </w:p>
    <w:p xmlns:wp14="http://schemas.microsoft.com/office/word/2010/wordml" w:rsidP="768AADBE" w14:paraId="7768F79D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Contabilidade Pública fornece a infraestrutura de dados necessária para qualquer análise fiscal. Através do Siconfi (Sistema de Informações Contábeis e Fiscais do Setor Público Brasileiro), os entes federativos registram suas receitas, despesas, ativos e passivos de forma padronizada. Sem registros contábeis precisos e confiáveis, como aqueles utilizados nesta prova (FINBRA 2014-2023), seria impossível realizar análises comparativas ou identificar tendências.</w:t>
      </w:r>
    </w:p>
    <w:p xmlns:wp14="http://schemas.microsoft.com/office/word/2010/wordml" w:rsidP="768AADBE" w14:paraId="2B2E8C0C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Contabilidade não se limita ao registro de transações; ela estabelece os princípios de reconhecimento, mensuração e divulgação que permitem que stakeholders (gestores, cidadãos, investidores) compreendam a situação financeira de um ente público.</w:t>
      </w:r>
    </w:p>
    <w:p xmlns:wp14="http://schemas.microsoft.com/office/word/2010/wordml" w:rsidP="768AADBE" w14:paraId="3656B9AB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4571C076" wp14:textId="77777777">
      <w:pPr>
        <w:pStyle w:val="Normal"/>
        <w:jc w:val="both"/>
      </w:pPr>
      <w:r w:rsidRPr="768AADBE" w:rsidR="768AADBE">
        <w:rPr>
          <w:lang w:val="pt-BR"/>
        </w:rPr>
        <w:t>1.2 Auditoria como Mecanismo de Controle e Legitimidade</w:t>
      </w:r>
    </w:p>
    <w:p xmlns:wp14="http://schemas.microsoft.com/office/word/2010/wordml" w:rsidP="768AADBE" w14:paraId="245C011A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Auditoria Governamental atua na verificação da legalidade, legitimidade e economicidade dos registros contábeis. Conforme estabelecido pelo Instituto Serzedello Corrêa (ISC/TCU), a auditoria não se restringe ao cumprimento de normas; ela valida se o gasto público cumpre sua finalidade social e se os recursos foram utilizados de forma eficiente.</w:t>
      </w:r>
    </w:p>
    <w:p xmlns:wp14="http://schemas.microsoft.com/office/word/2010/wordml" w:rsidP="768AADBE" w14:paraId="4530BFC8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No contexto desta prova, a confiabilidade dos dados de receita e despesa dos municípios de Betim e Governador Valadares depende de processos de auditoria que garantem que as informações foram coletadas e processadas corretamente. A auditoria também fornece recomendações para melhorias na gestão fiscal.</w:t>
      </w:r>
    </w:p>
    <w:p xmlns:wp14="http://schemas.microsoft.com/office/word/2010/wordml" w:rsidP="768AADBE" w14:paraId="45FB0818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049D7C52" wp14:textId="77777777">
      <w:pPr>
        <w:pStyle w:val="Normal"/>
        <w:jc w:val="both"/>
      </w:pPr>
      <w:r w:rsidRPr="768AADBE" w:rsidR="768AADBE">
        <w:rPr>
          <w:lang w:val="pt-BR"/>
        </w:rPr>
        <w:t>1.3 Administração Pública como Executor de Políticas</w:t>
      </w:r>
    </w:p>
    <w:p xmlns:wp14="http://schemas.microsoft.com/office/word/2010/wordml" w:rsidP="768AADBE" w14:paraId="0B843317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Administração Pública fornece o arcabouço organizacional e processual para a execução das políticas fiscais. Ela define como os recursos serão alocados entre funções (Saúde, Educação, Segurança), como os processos de arrecadação serão conduzidos e como a despesa será realizada.</w:t>
      </w:r>
    </w:p>
    <w:p xmlns:wp14="http://schemas.microsoft.com/office/word/2010/wordml" w:rsidP="768AADBE" w14:paraId="78557F2A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qualidade da gestão administrativa influencia diretamente a eficiência do gasto público. Por exemplo, a correlação negativa entre Gasto em Educação e IDEB em Betim (Questão 5) pode indicar não apenas insuficiência de recursos, mas também ineficiências administrativas na alocação ou execução do gasto.</w:t>
      </w:r>
    </w:p>
    <w:p xmlns:wp14="http://schemas.microsoft.com/office/word/2010/wordml" w:rsidP="768AADBE" w14:paraId="049F31CB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5321C995" wp14:textId="77777777">
      <w:pPr>
        <w:pStyle w:val="Normal"/>
        <w:jc w:val="both"/>
      </w:pPr>
      <w:r w:rsidRPr="768AADBE" w:rsidR="768AADBE">
        <w:rPr>
          <w:lang w:val="pt-BR"/>
        </w:rPr>
        <w:t>1.4 Economia do Setor Público como Referencial Teórico</w:t>
      </w:r>
    </w:p>
    <w:p xmlns:wp14="http://schemas.microsoft.com/office/word/2010/wordml" w:rsidP="768AADBE" w14:paraId="1B852909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Economia do Setor Público fornece o referencial teórico para justificar a intervenção estatal e medir sua eficácia. Ela responde perguntas fundamentais: Por que o Estado deve intervir em educação? Qual é o nível ótimo de tributação? Como a receita fiscal se relaciona com o desempenho econômico?</w:t>
      </w:r>
    </w:p>
    <w:p xmlns:wp14="http://schemas.microsoft.com/office/word/2010/wordml" w:rsidP="768AADBE" w14:paraId="7E5CF3F3" wp14:textId="77777777">
      <w:pPr>
        <w:pStyle w:val="Normal"/>
        <w:spacing w:before="0" w:beforeAutospacing="off" w:after="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As análises econométricas realizadas nesta prova (correlações, regressões, Curva de Laffer) são instrumentos da Economia do Setor Público que permitem quantificar essas relações e informar decisões de política pública</w:t>
      </w:r>
    </w:p>
    <w:p xmlns:wp14="http://schemas.microsoft.com/office/word/2010/wordml" w:rsidP="768AADBE" w14:paraId="1115F8A9" wp14:textId="77777777">
      <w:pPr>
        <w:pStyle w:val="Heading4"/>
        <w:tabs>
          <w:tab w:val="clear" w:pos="708"/>
          <w:tab w:val="left" w:leader="none" w:pos="720"/>
        </w:tabs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  <w:r w:rsidRPr="768AADBE" w:rsidR="768AADBE">
        <w:rPr>
          <w:lang w:val="pt-BR"/>
        </w:rPr>
        <w:t>2) A partir do país atribuído, descreva e analise com base nos conceitos de (i) forma de Estado; (ii) forma de governo; (iii) regime de governo; (iv) sistema de governo; e em seguida, explique como essas características influenciam o financiamento e a gestão das políticas públicas do país. (10 anos, gráfico e análise). Inclua pelo menos um indicador empírico que evidencie esse impacto.</w:t>
      </w:r>
    </w:p>
    <w:p xmlns:wp14="http://schemas.microsoft.com/office/word/2010/wordml" w:rsidP="768AADBE" w14:paraId="53128261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2BD5B51D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Estrutura Político-Institucional e Financiamento Público na Indonésia</w:t>
      </w:r>
    </w:p>
    <w:p xmlns:wp14="http://schemas.microsoft.com/office/word/2010/wordml" w:rsidP="768AADBE" w14:paraId="65188229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arquitetura do financiamento e da gestão das políticas públicas na Indonésia é diretamente moldada por suas quatro características institucionais básicas:</w:t>
      </w:r>
    </w:p>
    <w:p xmlns:wp14="http://schemas.microsoft.com/office/word/2010/wordml" w:rsidP="768AADBE" w14:paraId="26F2C37A" wp14:textId="77777777">
      <w:pPr>
        <w:pStyle w:val="ListParagraph"/>
        <w:numPr>
          <w:ilvl w:val="0"/>
          <w:numId w:val="7"/>
        </w:numPr>
        <w:spacing w:before="240" w:beforeAutospacing="off" w:after="24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Forma de Estado (Estado Unitário):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A Indonésia é um Estado Unitário arquipelágico. Isso significa que o poder legal e tributário primário está fortemente concentrado no governo central. A arrecadação não é fragmentada em entes subnacionais soberanos como numa federação, fazendo com que o "Governo Geral" concentre a enorme responsabilidade de financiar a nação.</w:t>
      </w:r>
    </w:p>
    <w:p xmlns:wp14="http://schemas.microsoft.com/office/word/2010/wordml" w:rsidP="768AADBE" w14:paraId="62486C05" wp14:textId="77777777">
      <w:pPr>
        <w:pStyle w:val="Normal"/>
        <w:spacing w:before="240" w:beforeAutospacing="off" w:after="240" w:afterAutospacing="off"/>
        <w:ind w:start="720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13D34750" wp14:textId="77777777">
      <w:pPr>
        <w:pStyle w:val="ListParagraph"/>
        <w:numPr>
          <w:ilvl w:val="0"/>
          <w:numId w:val="7"/>
        </w:numPr>
        <w:spacing w:before="240" w:beforeAutospacing="off" w:after="24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Forma de Governo (República):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Sendo uma República, o Estado atua como o instrumento maior da sociedade civil politicamente organizada, gerido com vistas à autonomia, segurança e desenvolvimento econômico nacional (Bresser-Pereira, 2017).</w:t>
      </w:r>
    </w:p>
    <w:p xmlns:wp14="http://schemas.microsoft.com/office/word/2010/wordml" w:rsidP="768AADBE" w14:paraId="4101652C" wp14:textId="77777777">
      <w:pPr>
        <w:pStyle w:val="Normal"/>
        <w:spacing w:before="240" w:beforeAutospacing="off" w:after="240" w:afterAutospacing="off"/>
        <w:ind w:start="720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66303D9B" wp14:textId="77777777">
      <w:pPr>
        <w:pStyle w:val="ListParagraph"/>
        <w:numPr>
          <w:ilvl w:val="0"/>
          <w:numId w:val="7"/>
        </w:numPr>
        <w:spacing w:before="240" w:beforeAutospacing="off" w:after="24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Regime de Governo (Democrático):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O país consolidou seu regime democrático no final dos anos 1990. A legitimidade do poder passou a derivar de eleições, obrigando o Estado a responder às crescentes demandas da sociedade civil por saúde, educação e infraestrutura, pressionando a execução da despesa pública.</w:t>
      </w:r>
    </w:p>
    <w:p xmlns:wp14="http://schemas.microsoft.com/office/word/2010/wordml" w:rsidP="768AADBE" w14:paraId="4B99056E" wp14:textId="77777777">
      <w:pPr>
        <w:pStyle w:val="Normal"/>
        <w:spacing w:before="240" w:beforeAutospacing="off" w:after="240" w:afterAutospacing="off"/>
        <w:ind w:start="720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6D07A178" wp14:textId="77777777">
      <w:pPr>
        <w:pStyle w:val="ListParagraph"/>
        <w:numPr>
          <w:ilvl w:val="0"/>
          <w:numId w:val="7"/>
        </w:numPr>
        <w:spacing w:before="240" w:beforeAutospacing="off" w:after="24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Sistema de Governo (Presidencialismo):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O chefe de Estado e de Governo é o Presidente da República, que concentra a responsabilidade de formular a agenda orçamentária para integrar mais de 17 mil ilhas, negociando a aprovação das despesas com o legislativo.</w:t>
      </w:r>
    </w:p>
    <w:p xmlns:wp14="http://schemas.microsoft.com/office/word/2010/wordml" w:rsidP="768AADBE" w14:paraId="1299C43A" wp14:textId="77777777">
      <w:pPr>
        <w:pStyle w:val="ListParagraph"/>
        <w:spacing w:before="240" w:beforeAutospacing="off" w:after="240" w:afterAutospacing="off"/>
        <w:ind w:start="72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17F6F7EB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Indicador Empírico, Gráfico e Análise Crítica</w:t>
      </w:r>
    </w:p>
    <w:p xmlns:wp14="http://schemas.microsoft.com/office/word/2010/wordml" w:rsidP="768AADBE" w14:paraId="4DDBEF00" wp14:textId="77777777">
      <w:pPr>
        <w:pStyle w:val="Normal"/>
        <w:spacing w:before="0" w:beforeAutospacing="off" w:after="0" w:afterAutospacing="off"/>
        <w:jc w:val="both"/>
        <w:rPr>
          <w:u w:val="single"/>
        </w:rPr>
      </w:pPr>
      <w:r w:rsidR="768AADBE">
        <w:drawing>
          <wp:inline xmlns:wp14="http://schemas.microsoft.com/office/word/2010/wordprocessingDrawing" wp14:editId="425EE581" wp14:anchorId="2E313D3C">
            <wp:extent cx="5243195" cy="3239770"/>
            <wp:effectExtent l="0" t="0" r="0" b="0"/>
            <wp:docPr id="2" name="Figura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70FCFD99" wp14:textId="77777777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i w:val="1"/>
          <w:iCs w:val="1"/>
          <w:sz w:val="16"/>
          <w:szCs w:val="16"/>
          <w:lang w:val="pt-BR"/>
        </w:rPr>
      </w:pPr>
      <w:r w:rsidRPr="768AADBE" w:rsidR="768AADBE">
        <w:rPr>
          <w:rFonts w:ascii="Aptos" w:hAnsi="Aptos" w:eastAsia="Aptos" w:cs="Aptos"/>
          <w:i w:val="1"/>
          <w:iCs w:val="1"/>
          <w:sz w:val="16"/>
          <w:szCs w:val="16"/>
          <w:lang w:val="pt-BR"/>
        </w:rPr>
        <w:t>Valores deflacionados pelo CPI (Indonésia). Fontes: Ministério das Finanças da Indonésia / Banco Mundial</w:t>
      </w:r>
    </w:p>
    <w:p xmlns:wp14="http://schemas.microsoft.com/office/word/2010/wordml" w:rsidP="768AADBE" w14:paraId="1E1DD3FD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Para analisar o impacto dessa estrutura política no financiamento das políticas públicas, foi selecionado o indicador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Receita e Despesa do Governo Geral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com a série histórica de 10 anos deflacionada.</w:t>
      </w:r>
    </w:p>
    <w:p xmlns:wp14="http://schemas.microsoft.com/office/word/2010/wordml" w:rsidP="768AADBE" w14:paraId="11A53563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A análise crítica do gráfico evidencia o peso do modelo político sobre a saúde fiscal do país. Observa-se que, devido à forma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Estado Unitário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, os valores absolutos geridos pelo Governo Geral são colossais, pois ele é a principal âncora de financiamento de todas as ilhas. Ao mesmo tempo, a linha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Despesa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pressionando ou superando a linha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Receita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ilustra o custo de manutenção do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Regime Democrático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 Em uma democracia republicana, o Estado é constantemente cobrado pela sociedade civil para entregar políticas públicas corretivas e de bem-estar.</w:t>
      </w:r>
    </w:p>
    <w:p xmlns:wp14="http://schemas.microsoft.com/office/word/2010/wordml" w:rsidP="768AADBE" w14:paraId="4DC1751A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Para sustentar a legitimidade presidencial perante a nação, o governo indonésio precisa manter um alto nível de gasto público (execução de políticas), mesmo em momentos de estagnação da receita. Isso corrobora a tese de Bresser-Pereira de que o Estado Moderno, ao assumir o papel de indutor do desenvolvimento econômico e social em regimes democráticos, enfrenta o desafio constante de alinhar a sua capacidade arrecadatória com a infinita demanda social, refletindo diretamente no comportamento das despesas do Governo Geral.</w:t>
      </w:r>
    </w:p>
    <w:p xmlns:wp14="http://schemas.microsoft.com/office/word/2010/wordml" w:rsidP="768AADBE" w14:paraId="3461D779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4D24E44F" wp14:textId="77777777">
      <w:pPr>
        <w:pStyle w:val="Heading4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  <w:r w:rsidRPr="768AADBE" w:rsidR="768AADBE">
        <w:rPr>
          <w:lang w:val="pt-BR"/>
        </w:rPr>
        <w:t>3) Analise a composição da receita municipal com gráfico e evolução temporal.</w:t>
      </w:r>
    </w:p>
    <w:p xmlns:wp14="http://schemas.microsoft.com/office/word/2010/wordml" w:rsidP="768AADBE" w14:paraId="2E49FB3F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Composição e Evolução das Receitas (Betim e Governador Valadares)</w:t>
      </w:r>
    </w:p>
    <w:p xmlns:wp14="http://schemas.microsoft.com/office/word/2010/wordml" w:rsidP="768AADBE" w14:paraId="3CF2D8B6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13C32573" wp14:anchorId="788F9104">
            <wp:extent cx="4679950" cy="2952115"/>
            <wp:effectExtent l="0" t="0" r="0" b="0"/>
            <wp:docPr id="3" name="Figura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5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0FB78278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70CCCFBB" wp14:anchorId="6EF2486E">
            <wp:extent cx="4679950" cy="2816225"/>
            <wp:effectExtent l="0" t="0" r="0" b="0"/>
            <wp:docPr id="4" name="Figura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81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0B01FADB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i w:val="1"/>
          <w:iCs w:val="1"/>
          <w:sz w:val="16"/>
          <w:szCs w:val="16"/>
          <w:lang w:val="pt-BR"/>
        </w:rPr>
      </w:pPr>
      <w:r w:rsidRPr="768AADBE" w:rsidR="768AADBE">
        <w:rPr>
          <w:rFonts w:ascii="Aptos" w:hAnsi="Aptos" w:eastAsia="Aptos" w:cs="Aptos"/>
          <w:i w:val="1"/>
          <w:iCs w:val="1"/>
          <w:sz w:val="16"/>
          <w:szCs w:val="16"/>
          <w:lang w:val="pt-BR"/>
        </w:rPr>
        <w:t>Valores deflacionados pelo IPCA. Fonte: Siconfi/STN</w:t>
      </w:r>
    </w:p>
    <w:p xmlns:wp14="http://schemas.microsoft.com/office/word/2010/wordml" w:rsidP="768AADBE" w14:paraId="1FC39945" wp14:textId="77777777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sz w:val="24"/>
          <w:szCs w:val="24"/>
          <w:lang w:val="pt-BR"/>
        </w:rPr>
      </w:pPr>
    </w:p>
    <w:p xmlns:wp14="http://schemas.microsoft.com/office/word/2010/wordml" w:rsidP="768AADBE" w14:paraId="6AE570F4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análise da evolução temporal da composição das receitas de Betim e Governador Valadares, em valores reais deflacionados pelo IPCA (2014-2023), ilustra de forma empírica a dinâmica do federalismo fiscal brasileiro na esfera local.</w:t>
      </w:r>
    </w:p>
    <w:p xmlns:wp14="http://schemas.microsoft.com/office/word/2010/wordml" w:rsidP="768AADBE" w14:paraId="57BDC44B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A observação dos gráficos evidencia uma assimetria estrutural na autonomia financeira dos dois municípios. Governador Valadares apresenta uma dependência substancial das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Transferências Correntes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(nomeadamente o FPM e as quotas-partes do ICMS e IPVA), que representam a esmagadora maioria do seu financiamento. Por outro lado, Betim, devido ao seu denso parque industrial e maior vitalidade económica, consegue manter uma proporção significativamente mais robusta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Receitas Tributárias próprias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(como o ISS e o IPTU).</w:t>
      </w:r>
    </w:p>
    <w:p xmlns:wp14="http://schemas.microsoft.com/office/word/2010/wordml" w:rsidP="768AADBE" w14:paraId="79E2591E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Do ponto de vista teórico, o modelo de financiamento verificado em Valadares acentua o fenómeno da "ilusão fiscal" (Biderman &amp; Arvate, 2004). Quando a maior parte dos recursos executados pelo município não é arrecadada localmente, o cidadão tem maior dificuldade em associar o custo do imposto ao benefício do serviço público prestado, o que enfraquece a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accountability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local.</w:t>
      </w:r>
    </w:p>
    <w:p xmlns:wp14="http://schemas.microsoft.com/office/word/2010/wordml" w:rsidP="768AADBE" w14:paraId="068D9D0C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Para a Administração Pública Gerencial (Bresser-Pereira, 2017), esta dependência crónica de repasses impõe um desafio constante aos gestores de municípios como Valadares: a necessidade de garantir a provisão universal de serviços (saúde e educação) fica refém das oscilações macroeconómicas nacionais e estaduais, limitando a capacidade de planeamento de longo prazo. Em contraste, a maior arrecadação própria de Betim confere-lhe uma margem de manobra fiscal mais resiliente face aos choques nos repasses federais e estaduais.</w:t>
      </w:r>
    </w:p>
    <w:p xmlns:wp14="http://schemas.microsoft.com/office/word/2010/wordml" w:rsidP="768AADBE" w14:paraId="0562CB0E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3C37CC5F" wp14:textId="77777777">
      <w:pPr>
        <w:pStyle w:val="Heading4"/>
        <w:jc w:val="both"/>
      </w:pPr>
      <w:r w:rsidRPr="768AADBE" w:rsidR="768AADBE">
        <w:rPr>
          <w:lang w:val="pt-BR"/>
        </w:rPr>
        <w:t>4) Analise evolução conjunta das receitas e despesas (10 anos, valores reais, gráfico e análise crítica).</w:t>
      </w:r>
    </w:p>
    <w:p xmlns:wp14="http://schemas.microsoft.com/office/word/2010/wordml" w:rsidP="768AADBE" w14:paraId="744D7440" wp14:textId="77777777">
      <w:pPr>
        <w:pStyle w:val="Normal"/>
        <w:suppressLineNumbers w:val="0"/>
        <w:bidi w:val="0"/>
        <w:spacing w:before="240" w:beforeAutospacing="off" w:after="240" w:afterAutospacing="off" w:line="278" w:lineRule="auto"/>
        <w:ind w:start="0" w:end="0"/>
        <w:jc w:val="both"/>
        <w:rPr>
          <w:rFonts w:ascii="Aptos" w:hAnsi="Aptos" w:eastAsia="Aptos" w:cs="Aptos"/>
          <w:b w:val="1"/>
          <w:bCs w:val="1"/>
          <w:sz w:val="24"/>
          <w:szCs w:val="24"/>
          <w:lang w:val="pt-BR"/>
        </w:rPr>
      </w:pPr>
      <w:r w:rsidRPr="768AADBE" w:rsidR="768AADBE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pt-BR" w:eastAsia="en-US" w:bidi="ar-SA"/>
        </w:rPr>
        <w:t>Saúde Fiscal e Evolução (Receita x Despesa)</w:t>
      </w:r>
    </w:p>
    <w:p xmlns:wp14="http://schemas.microsoft.com/office/word/2010/wordml" w:rsidP="768AADBE" w14:paraId="34CE0A41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7BE16CA4" wp14:anchorId="60C7AFC8">
            <wp:extent cx="4733925" cy="2943225"/>
            <wp:effectExtent l="0" t="0" r="0" b="0"/>
            <wp:docPr id="5" name="Figura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62EBF3C5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086DF02D" wp14:anchorId="10D7A835">
            <wp:extent cx="4892040" cy="2943225"/>
            <wp:effectExtent l="0" t="0" r="0" b="0"/>
            <wp:docPr id="6" name="Figura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7E997A06" wp14:textId="7777777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i w:val="1"/>
          <w:iCs w:val="1"/>
          <w:sz w:val="16"/>
          <w:szCs w:val="16"/>
          <w:lang w:val="pt-BR"/>
        </w:rPr>
      </w:pPr>
      <w:r w:rsidRPr="768AADBE" w:rsidR="768AADBE">
        <w:rPr>
          <w:rFonts w:ascii="Aptos" w:hAnsi="Aptos" w:eastAsia="Aptos" w:cs="Aptos"/>
          <w:i w:val="1"/>
          <w:iCs w:val="1"/>
          <w:sz w:val="16"/>
          <w:szCs w:val="16"/>
          <w:lang w:val="pt-BR"/>
        </w:rPr>
        <w:t>Valores deflacionados pelo IPCA. Fonte: Siconfi/STN</w:t>
      </w:r>
    </w:p>
    <w:p xmlns:wp14="http://schemas.microsoft.com/office/word/2010/wordml" w:rsidP="768AADBE" w14:paraId="05AB4567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avaliação conjunta da evolução real das Receitas Totais e Despesas Totais (2014-2023) permite diagnosticar a saúde fiscal dos municípios de Betim e Governador Valadares sob a ótica da Lei de Responsabilidade Fiscal (LRF) e dos princípios da Administração Pública Gerencial.</w:t>
      </w:r>
    </w:p>
    <w:p xmlns:wp14="http://schemas.microsoft.com/office/word/2010/wordml" w:rsidP="768AADBE" w14:paraId="5EEE5199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observação das curvas demonstra, em ambos os municípios, uma forte aderência da despesa empenhada à receita arrecadada. Na maior parte da série histórica, as linhas "caminham juntas". Este comportamento evidencia o esforço contabilístico e gerencial para evitar défices primários consistentes, atestando a eficácia dos mecanismos de controlo e auditoria consolidados no Brasil a partir da LRF (Giambiagi &amp; Além, 2011). O modelo burocrático de controlo obriga o gestor a contingenciar o gasto sempre que a arrecadação frustra as expectativas.</w:t>
      </w:r>
    </w:p>
    <w:p xmlns:wp14="http://schemas.microsoft.com/office/word/2010/wordml" w:rsidP="768AADBE" w14:paraId="2B41C512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Contudo, uma análise crítica mais aprofundada exige ir além do mero equilíbrio aritmético. Esta alta correlação impõe uma severa pró-ciclicidade aos municípios: em anos de retração económica nacional (visualizada nas depressões das curvas de receita), as autarquias são forçadas a cortar gastos.</w:t>
      </w:r>
    </w:p>
    <w:p xmlns:wp14="http://schemas.microsoft.com/office/word/2010/wordml" w:rsidP="768AADBE" w14:paraId="46EA9DA0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Como a esmagadora maioria do orçamento municipal está engessada por despesas correntes obrigatórias (folha de pagamentos, manutenção da máquina e vinculações constitucionais em saúde e educação), o ajuste recai inevitavelmente sobre a rubrica de investimentos em infraestruturas (Biderman &amp; Arvate, 2004). Desta forma, conclui-se que a "saúde fiscal" aparente – atestada pelo equilíbrio numérico nas curvas – máscara frequentemente uma estagnação na capacidade real do Estado local em atuar como promotor do desenvolvimento, falhando no objetivo central da Administração Gerencial que é a entrega contínua de valor público e eficiência ao cidadão (Bresser-Pereira, 2017).</w:t>
      </w:r>
    </w:p>
    <w:p xmlns:wp14="http://schemas.microsoft.com/office/word/2010/wordml" w:rsidP="768AADBE" w14:paraId="6D98A12B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24AC880B" wp14:textId="77777777">
      <w:pPr>
        <w:pStyle w:val="Heading4"/>
        <w:jc w:val="both"/>
      </w:pPr>
      <w:r w:rsidRPr="768AADBE" w:rsidR="768AADBE">
        <w:rPr>
          <w:lang w:val="pt-BR"/>
        </w:rPr>
        <w:t>5) Relacione gasto público com indicador de resultado (educação ou saúde) usando correlação/regressão.</w:t>
      </w:r>
    </w:p>
    <w:p xmlns:wp14="http://schemas.microsoft.com/office/word/2010/wordml" w:rsidP="768AADBE" w14:paraId="1FCCC8D8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Correlação/Regressão entre Gasto Público e Resultados Sociais</w:t>
      </w:r>
    </w:p>
    <w:p xmlns:wp14="http://schemas.microsoft.com/office/word/2010/wordml" w:rsidP="768AADBE" w14:paraId="2946DB82" wp14:textId="77777777">
      <w:pPr>
        <w:pStyle w:val="Normal"/>
        <w:spacing w:before="0" w:beforeAutospacing="off" w:after="0" w:afterAutospacing="off"/>
        <w:jc w:val="both"/>
      </w:pPr>
    </w:p>
    <w:p xmlns:wp14="http://schemas.microsoft.com/office/word/2010/wordml" w:rsidP="768AADBE" w14:paraId="5997CC1D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290B3C69" wp14:anchorId="52315C9F">
            <wp:extent cx="4591050" cy="2762250"/>
            <wp:effectExtent l="0" t="0" r="0" b="0"/>
            <wp:docPr id="7" name="Figura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110FFD37" wp14:textId="77777777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44C74FDE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Para avaliar a eficiência alocativa da máquina pública, estimou-se um modelo de regressão linear simples relacionando a Despesa Real (variável independente) e o indicador social selecionado (variável dependente) no município de Betim. O modelo foi processado no Excel, gerando a equação da reta </w:t>
      </w:r>
      <w:r>
        <w:rPr/>
      </w:r>
      <m:oMath xmlns:m="http://schemas.openxmlformats.org/officeDocument/2006/math">
        <m:r>
          <m:t xml:space="preserve">𝑦</m:t>
        </m:r>
        <m:r>
          <m:rPr>
            <m:lit/>
            <m:nor/>
          </m:rPr>
          <m:t xml:space="preserve">=</m:t>
        </m:r>
        <m:r>
          <m:t xml:space="preserve">−</m:t>
        </m:r>
        <m:r>
          <m:t xml:space="preserve">3</m:t>
        </m:r>
        <m:r>
          <m:rPr>
            <m:lit/>
            <m:nor/>
          </m:rPr>
          <m:t xml:space="preserve">E</m:t>
        </m:r>
        <m:r>
          <m:t xml:space="preserve">−</m:t>
        </m:r>
        <m:r>
          <m:t xml:space="preserve">10</m:t>
        </m:r>
        <m:r>
          <m:t xml:space="preserve">𝑥</m:t>
        </m:r>
        <m:r>
          <m:rPr>
            <m:lit/>
            <m:nor/>
          </m:rPr>
          <m:t xml:space="preserve">+</m:t>
        </m:r>
        <m:r>
          <m:t xml:space="preserve">6,8964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e o coeficiente de determinação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p>
              <m:e>
                <m:r>
                  <m:t xml:space="preserve">𝑅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=</m:t>
            </m:r>
            <m:r>
              <m:t xml:space="preserve">0,2052</m:t>
            </m:r>
          </m:e>
        </m:d>
      </m:oMath>
      <w:r w:rsidR="768AADBE">
        <w:rPr>
          <w:rFonts w:ascii="Aptos" w:hAnsi="Aptos" w:eastAsia="Aptos" w:cs="Aptos"/>
          <w:sz w:val="24"/>
          <w:szCs w:val="24"/>
          <w:lang w:val="pt-BR"/>
        </w:rPr>
        <w:t>.</w:t>
      </w:r>
    </w:p>
    <w:p xmlns:wp14="http://schemas.microsoft.com/office/word/2010/wordml" w:rsidP="768AADBE" w14:paraId="385AB2B4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Análise Crítica:</w:t>
      </w:r>
    </w:p>
    <w:p xmlns:wp14="http://schemas.microsoft.com/office/word/2010/wordml" w:rsidP="768AADBE" w14:paraId="196C7B9C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O resultado estatístico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p>
              <m:e>
                <m:r>
                  <m:t xml:space="preserve">𝑅</m:t>
                </m:r>
              </m:e>
              <m:sup>
                <m:r>
                  <m:t xml:space="preserve">2</m:t>
                </m:r>
              </m:sup>
            </m:sSup>
            <m:r>
              <m:t xml:space="preserve">≈</m:t>
            </m:r>
            <m:r>
              <m:t xml:space="preserve">0,20</m:t>
            </m:r>
          </m:e>
        </m:d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demonstra uma completa ausência de correlação linear positiva entre as variáveis: a variação nas despesas do município explica 20% da variação nos resultados sociais. Além disso, a inclinação negativa e infinitesimal da reta (</w:t>
      </w:r>
      <w:r>
        <w:rPr/>
      </w:r>
      <m:oMath xmlns:m="http://schemas.openxmlformats.org/officeDocument/2006/math">
        <m:r>
          <m:t xml:space="preserve">𝑦</m:t>
        </m:r>
        <m:r>
          <m:rPr>
            <m:lit/>
            <m:nor/>
          </m:rPr>
          <m:t xml:space="preserve">=</m:t>
        </m:r>
        <m:r>
          <m:t xml:space="preserve">−</m:t>
        </m:r>
        <m:r>
          <m:t xml:space="preserve">3</m:t>
        </m:r>
        <m:r>
          <m:rPr>
            <m:lit/>
            <m:nor/>
          </m:rPr>
          <m:t xml:space="preserve">E</m:t>
        </m:r>
        <m:r>
          <m:t xml:space="preserve">−</m:t>
        </m:r>
        <m:r>
          <m:t xml:space="preserve">10</m:t>
        </m:r>
        <m:r>
          <m:t xml:space="preserve">𝑥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>) demonstra que injetar mais recursos não está associado a melhorias no indicador.</w:t>
      </w:r>
    </w:p>
    <w:p xmlns:wp14="http://schemas.microsoft.com/office/word/2010/wordml" w:rsidP="768AADBE" w14:paraId="1B2C35A4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Do ponto de vista da teoria das Finanças Públicas, este resultado empírico comprova de forma contundente a tese de Biderman e Arvate (2004) sobre a "ineficiência do setor público". O modelo burocrático tradicional, focado estritamente no cumprimento da legalidade da despesa (gastar os mínimos constitucionais), falha ao presumir que o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input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financeiro se traduz automaticamente num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output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social positivo.</w:t>
      </w:r>
    </w:p>
    <w:p xmlns:wp14="http://schemas.microsoft.com/office/word/2010/wordml" w:rsidP="768AADBE" w14:paraId="0D4E909E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Sob a ótica da Administração Pública Gerencial (Bresser-Pereira, 2017), esta profunda ineficiência reflete uma disfunção estrutural: o município gasta, mas não gere por resultados. A máquina pública carece de mecanismos de avaliação de desempenho e de uma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accountability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voltada para o cidadão. Como argumenta Campos (1990), a prestação de contas não deve limitar-se ao equilíbrio contabilístico legal, mas sim à demonstração de que o Estado tem a capacidade de entregar valor e serviços de qualidade. O gráfico prova empiricamente que, em Betim, o simples aumento da despesa não está a garantir a efetividade da política pública na ponta.</w:t>
      </w:r>
    </w:p>
    <w:p xmlns:wp14="http://schemas.microsoft.com/office/word/2010/wordml" w:rsidP="768AADBE" w14:paraId="6B699379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588E1AD1" wp14:textId="77777777">
      <w:pPr>
        <w:pStyle w:val="Heading4"/>
        <w:jc w:val="both"/>
      </w:pPr>
      <w:r w:rsidRPr="768AADBE" w:rsidR="768AADBE">
        <w:rPr>
          <w:lang w:val="pt-BR"/>
        </w:rPr>
        <w:t>6) Construa uma Curva de Laffer empírica (receita vs proxy de carga tributária), com gráfico e regressão.</w:t>
      </w:r>
    </w:p>
    <w:p xmlns:wp14="http://schemas.microsoft.com/office/word/2010/wordml" w:rsidP="768AADBE" w14:paraId="29D6B04F" wp14:textId="77777777">
      <w:pPr>
        <w:pStyle w:val="Normal"/>
        <w:jc w:val="both"/>
      </w:pPr>
      <w:r w:rsidRPr="768AADBE" w:rsidR="768AAD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768AADBE" w14:paraId="6DBADDC6" wp14:textId="77777777">
      <w:pPr>
        <w:pStyle w:val="Normal"/>
        <w:jc w:val="both"/>
      </w:pPr>
      <w:r w:rsidRPr="768AADBE" w:rsidR="768AADBE">
        <w:rPr>
          <w:lang w:val="pt-BR"/>
        </w:rPr>
        <w:t>Estimativa Empírica da Curva de Laffer</w:t>
      </w:r>
    </w:p>
    <w:p xmlns:wp14="http://schemas.microsoft.com/office/word/2010/wordml" w:rsidP="768AADBE" w14:paraId="3FE9F23F" wp14:textId="77777777">
      <w:pPr>
        <w:pStyle w:val="Normal"/>
        <w:spacing w:before="0" w:beforeAutospacing="off" w:after="0" w:afterAutospacing="off"/>
        <w:jc w:val="both"/>
      </w:pPr>
    </w:p>
    <w:p xmlns:wp14="http://schemas.microsoft.com/office/word/2010/wordml" w:rsidP="768AADBE" w14:paraId="1F72F646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6F42AFCA" wp14:anchorId="51605BA8">
            <wp:extent cx="4591050" cy="2762250"/>
            <wp:effectExtent l="0" t="0" r="0" b="0"/>
            <wp:docPr id="8" name="Figura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08CE6F91" wp14:textId="77777777">
      <w:pPr>
        <w:pStyle w:val="Normal"/>
        <w:jc w:val="both"/>
        <w:rPr>
          <w:lang w:val="pt-BR"/>
        </w:rPr>
      </w:pPr>
    </w:p>
    <w:p xmlns:wp14="http://schemas.microsoft.com/office/word/2010/wordml" w:rsidP="768AADBE" w14:paraId="0B3CA6E4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A teoria da Curva de Laffer postula a existência de uma relação não-linear (parabólica) entre a carga tributária e a receita arrecadada, sugerindo que existe um ponto de extração ótimo que maximiza os recursos estatais. Para testar este postulado no nível subnacional, cruzou-se a </w:t>
      </w: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Receita Tributária Real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do município de Betim (variável dependente) com a </w:t>
      </w: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Proxy de Carga Tributária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calculada (variável independente), estimando-se uma regressão polinomial de 2ª ordem. O modelo resultou na equação </w:t>
      </w:r>
      <w:r>
        <w:rPr/>
      </w:r>
      <m:oMath xmlns:m="http://schemas.openxmlformats.org/officeDocument/2006/math">
        <m:r>
          <m:t xml:space="preserve">𝑦</m:t>
        </m:r>
        <m:r>
          <m:rPr>
            <m:lit/>
            <m:nor/>
          </m:rPr>
          <m:t xml:space="preserve">=</m:t>
        </m:r>
        <m:r>
          <m:t xml:space="preserve">3</m:t>
        </m:r>
        <m:r>
          <m:rPr>
            <m:lit/>
            <m:nor/>
          </m:rPr>
          <m:t xml:space="preserve">E</m:t>
        </m:r>
        <m:r>
          <m:rPr>
            <m:lit/>
            <m:nor/>
          </m:rPr>
          <m:t xml:space="preserve">+</m:t>
        </m:r>
        <m:r>
          <m:t xml:space="preserve">10</m:t>
        </m:r>
        <m:sSup>
          <m:e>
            <m:r>
              <m:t xml:space="preserve">𝑥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rPr>
            <m:lit/>
            <m:nor/>
          </m:rPr>
          <m:t xml:space="preserve">E</m:t>
        </m:r>
        <m:r>
          <m:rPr>
            <m:lit/>
            <m:nor/>
          </m:rPr>
          <m:t xml:space="preserve">+</m:t>
        </m:r>
        <m:r>
          <m:t xml:space="preserve">09</m:t>
        </m:r>
        <m:r>
          <m:t xml:space="preserve">𝑥</m:t>
        </m:r>
        <m:r>
          <m:rPr>
            <m:lit/>
            <m:nor/>
          </m:rPr>
          <m:t xml:space="preserve">+</m:t>
        </m:r>
        <m:r>
          <m:t xml:space="preserve">4</m:t>
        </m:r>
        <m:r>
          <m:rPr>
            <m:lit/>
            <m:nor/>
          </m:rPr>
          <m:t xml:space="preserve">E</m:t>
        </m:r>
        <m:r>
          <m:rPr>
            <m:lit/>
            <m:nor/>
          </m:rPr>
          <m:t xml:space="preserve">+</m:t>
        </m:r>
        <m:r>
          <m:t xml:space="preserve">08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com um coeficiente de determinação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) de </w:t>
      </w: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0,6874</w:t>
      </w:r>
      <w:r w:rsidR="768AADBE">
        <w:rPr>
          <w:rFonts w:ascii="Aptos" w:hAnsi="Aptos" w:eastAsia="Aptos" w:cs="Aptos"/>
          <w:sz w:val="24"/>
          <w:szCs w:val="24"/>
          <w:lang w:val="pt-BR"/>
        </w:rPr>
        <w:t>.</w:t>
      </w:r>
    </w:p>
    <w:p xmlns:wp14="http://schemas.microsoft.com/office/word/2010/wordml" w:rsidP="768AADBE" w14:paraId="75EB1831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Análise Crítica:</w:t>
      </w:r>
    </w:p>
    <w:p xmlns:wp14="http://schemas.microsoft.com/office/word/2010/wordml" w:rsidP="768AADBE" w14:paraId="0C961EF8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>O resultado estatístico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t xml:space="preserve">≈</m:t>
        </m:r>
        <m:r>
          <m:t xml:space="preserve">0,69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>) demonstra uma aderência significativa dos dados reais ao modelo teórico. Isso significa que quase 70% da variação na arrecadação própria de Betim pode ser explicada pela intensidade da carga tributária exercida sobre a economia local. A trajetória da curva permite identificar a dinâmica da política fiscal municipal: a arrecadação não cresce de forma infinita; ela responde aos limites de capacidade contributiva do setor produtivo e imobiliário.</w:t>
      </w:r>
    </w:p>
    <w:p xmlns:wp14="http://schemas.microsoft.com/office/word/2010/wordml" w:rsidP="768AADBE" w14:paraId="09D9D954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Sob a ótica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Biderman e Arvate (2004)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o alto poder explicativo desta curva em Betim reflete a importância da gestão das alíquotas de ISS e IPTU. Como Betim possui uma base econômica industrial relevante, o gestor precisa ter cautela: ultrapassar o "ponto ótimo" da curva poderia desestimular investimentos produtivos ou causar fuga de empresas para municípios vizinhos com menor pressão fiscal.</w:t>
      </w:r>
    </w:p>
    <w:p xmlns:wp14="http://schemas.microsoft.com/office/word/2010/wordml" w:rsidP="768AADBE" w14:paraId="6C346FF8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Para a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Administração Pública Gerencial (Bresser-Pereira, 2017)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este diagnóstico comprova que a sustentabilidade fiscal não deve ser buscada apenas pelo aumento da extração tributária (que encontra limites empíricos claros no gráfico), mas sim pela eficiência na alocação desses recursos. Uma vez que o município já opera em um patamar de alta extração e correlação, o foco deve migrar do "arrecadar mais" para o "gerir melhor", garantindo que cada real extraído da sociedade retorne na forma de serviços públicos de qualidade e infraestrutura indutora do desenvolvimento.</w:t>
      </w:r>
    </w:p>
    <w:p xmlns:wp14="http://schemas.microsoft.com/office/word/2010/wordml" w:rsidP="768AADBE" w14:paraId="61CDCEAD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57D0154E" wp14:textId="77777777">
      <w:pPr>
        <w:pStyle w:val="Heading4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  <w:r w:rsidRPr="768AADBE" w:rsidR="768AADBE">
        <w:rPr>
          <w:lang w:val="pt-BR"/>
        </w:rPr>
        <w:t xml:space="preserve">7) Estime a regressão: Receita = </w:t>
      </w:r>
      <w:r w:rsidRPr="768AADBE" w:rsidR="768AADBE">
        <w:rPr>
          <w:lang w:val="en-US"/>
        </w:rPr>
        <w:t>β</w:t>
      </w:r>
      <w:r w:rsidRPr="768AADBE" w:rsidR="768AADBE">
        <w:rPr>
          <w:lang w:val="pt-BR"/>
        </w:rPr>
        <w:t xml:space="preserve">0 + </w:t>
      </w:r>
      <w:r w:rsidRPr="768AADBE" w:rsidR="768AADBE">
        <w:rPr>
          <w:lang w:val="en-US"/>
        </w:rPr>
        <w:t>β</w:t>
      </w:r>
      <w:r w:rsidRPr="768AADBE" w:rsidR="768AADBE">
        <w:rPr>
          <w:lang w:val="pt-BR"/>
        </w:rPr>
        <w:t xml:space="preserve">1 PIB + </w:t>
      </w:r>
      <w:r w:rsidRPr="768AADBE" w:rsidR="768AADBE">
        <w:rPr>
          <w:lang w:val="en-US"/>
        </w:rPr>
        <w:t>ε</w:t>
      </w:r>
      <w:r w:rsidRPr="768AADBE" w:rsidR="768AADBE">
        <w:rPr>
          <w:lang w:val="pt-BR"/>
        </w:rPr>
        <w:t xml:space="preserve">. Explique: (i) como coletou os dados; (ii) como estimou o modelo (Excel, R ou Python); (iii) interpretação econômica de </w:t>
      </w:r>
      <w:r w:rsidRPr="768AADBE" w:rsidR="768AADBE">
        <w:rPr>
          <w:lang w:val="en-US"/>
        </w:rPr>
        <w:t>β</w:t>
      </w:r>
      <w:r w:rsidRPr="768AADBE" w:rsidR="768AADBE">
        <w:rPr>
          <w:lang w:val="pt-BR"/>
        </w:rPr>
        <w:t>1; (iv) gráfico de dispersão; (v) implicações fiscais.</w:t>
      </w:r>
    </w:p>
    <w:p xmlns:wp14="http://schemas.microsoft.com/office/word/2010/wordml" w:rsidP="768AADBE" w14:paraId="6BB9E253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7845A59D" wp14:textId="77777777">
      <w:pPr>
        <w:pStyle w:val="Normal"/>
        <w:jc w:val="both"/>
      </w:pPr>
      <w:r w:rsidRPr="768AADBE" w:rsidR="768AADBE">
        <w:rPr>
          <w:lang w:val="pt-BR"/>
        </w:rPr>
        <w:t>Estimativa do Modelo de Elasticidade (Receita = β0 + β1 PIB + ε)</w:t>
      </w:r>
    </w:p>
    <w:p xmlns:wp14="http://schemas.microsoft.com/office/word/2010/wordml" w:rsidP="768AADBE" w14:paraId="23DE523C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1755A07C" wp14:anchorId="30F6C255">
            <wp:extent cx="4591050" cy="2762250"/>
            <wp:effectExtent l="0" t="0" r="0" b="0"/>
            <wp:docPr id="9" name="Figura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52E56223" wp14:textId="77777777">
      <w:pPr>
        <w:pStyle w:val="Normal"/>
        <w:spacing w:before="0" w:beforeAutospacing="off" w:after="0" w:afterAutospacing="off"/>
        <w:jc w:val="both"/>
      </w:pPr>
      <w:r w:rsidR="768AADBE">
        <w:drawing>
          <wp:inline xmlns:wp14="http://schemas.microsoft.com/office/word/2010/wordprocessingDrawing" wp14:editId="53DB0549" wp14:anchorId="18B9B3E4">
            <wp:extent cx="4591050" cy="2762250"/>
            <wp:effectExtent l="0" t="0" r="0" b="0"/>
            <wp:docPr id="10" name="Figura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07547A01" wp14:textId="77777777">
      <w:pPr>
        <w:pStyle w:val="Normal"/>
        <w:spacing w:before="0" w:beforeAutospacing="off" w:after="0" w:afterAutospacing="off"/>
        <w:jc w:val="both"/>
      </w:pPr>
    </w:p>
    <w:p xmlns:wp14="http://schemas.microsoft.com/office/word/2010/wordml" w:rsidP="768AADBE" w14:paraId="5043CB0F" wp14:textId="77777777">
      <w:pPr>
        <w:pStyle w:val="Normal"/>
        <w:spacing w:before="0" w:beforeAutospacing="off" w:after="0" w:afterAutospacing="off"/>
        <w:jc w:val="both"/>
      </w:pPr>
    </w:p>
    <w:p xmlns:wp14="http://schemas.microsoft.com/office/word/2010/wordml" w:rsidP="768AADBE" w14:paraId="07459315" wp14:textId="77777777">
      <w:pPr>
        <w:pStyle w:val="Normal"/>
        <w:spacing w:before="0" w:beforeAutospacing="off" w:after="0" w:afterAutospacing="off"/>
        <w:jc w:val="both"/>
      </w:pPr>
    </w:p>
    <w:p xmlns:wp14="http://schemas.microsoft.com/office/word/2010/wordml" w:rsidP="768AADBE" w14:paraId="115A4D70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Para avaliar a sensibilidade da arrecadação municipal face ao ciclo económico, estimou-se o modelo de regressão linear simples </w:t>
      </w:r>
      <w:r>
        <w:rPr/>
      </w:r>
      <m:oMath xmlns:m="http://schemas.openxmlformats.org/officeDocument/2006/math">
        <m:r>
          <m:rPr>
            <m:lit/>
            <m:nor/>
          </m:rPr>
          <m:t xml:space="preserve">Receita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Total</m:t>
        </m:r>
        <m:r>
          <m:rPr>
            <m:lit/>
            <m:nor/>
          </m:rPr>
          <m:t xml:space="preserve">=</m:t>
        </m:r>
        <m:sSub>
          <m:e>
            <m:r>
              <m:t xml:space="preserve">𝛽</m:t>
            </m:r>
          </m:e>
          <m:sub>
            <m:r>
              <m:t xml:space="preserve">0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𝛽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PIB</m:t>
        </m:r>
        <m:r>
          <m:rPr>
            <m:lit/>
            <m:nor/>
          </m:rPr>
          <m:t xml:space="preserve">+</m:t>
        </m:r>
        <m:r>
          <m:t xml:space="preserve">𝜀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para ambos os municípios. Devido à defasagem na divulgação do PIB municipal pelo IBGE, utilizou-se a variação real da riqueza regional como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proxy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macroeconómica para manter a integridade da série temporal de 10 anos.</w:t>
      </w:r>
    </w:p>
    <w:p xmlns:wp14="http://schemas.microsoft.com/office/word/2010/wordml" w:rsidP="768AADBE" w14:paraId="2013CDFB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Os modelos processados no Excel apresentaram os seguintes resultados:</w:t>
      </w:r>
    </w:p>
    <w:p xmlns:wp14="http://schemas.microsoft.com/office/word/2010/wordml" w:rsidP="768AADBE" w14:paraId="257C46CF" wp14:textId="77777777">
      <w:pPr>
        <w:pStyle w:val="ListParagraph"/>
        <w:numPr>
          <w:ilvl w:val="0"/>
          <w:numId w:val="6"/>
        </w:numPr>
        <w:spacing w:before="240" w:beforeAutospacing="off" w:after="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Betim: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</w:t>
      </w:r>
      <w:r>
        <w:rPr/>
      </w:r>
      <m:oMath xmlns:m="http://schemas.openxmlformats.org/officeDocument/2006/math">
        <m:r>
          <m:t xml:space="preserve">𝑦</m:t>
        </m:r>
        <m:r>
          <m:rPr>
            <m:lit/>
            <m:nor/>
          </m:rPr>
          <m:t xml:space="preserve">=</m:t>
        </m:r>
        <m:r>
          <m:t xml:space="preserve">21,86</m:t>
        </m:r>
        <m:r>
          <m:t xml:space="preserve">𝑥</m:t>
        </m:r>
        <m:r>
          <m:rPr>
            <m:lit/>
            <m:nor/>
          </m:rPr>
          <m:t xml:space="preserve">+</m:t>
        </m:r>
        <m:r>
          <m:t xml:space="preserve">2</m:t>
        </m:r>
        <m:r>
          <m:rPr>
            <m:lit/>
            <m:nor/>
          </m:rPr>
          <m:t xml:space="preserve">E</m:t>
        </m:r>
        <m:r>
          <m:rPr>
            <m:lit/>
            <m:nor/>
          </m:rPr>
          <m:t xml:space="preserve">+</m:t>
        </m:r>
        <m:r>
          <m:t xml:space="preserve">09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| 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0,3800</m:t>
        </m:r>
      </m:oMath>
    </w:p>
    <w:p xmlns:wp14="http://schemas.microsoft.com/office/word/2010/wordml" w:rsidP="768AADBE" w14:paraId="1F49365B" wp14:textId="77777777">
      <w:pPr>
        <w:pStyle w:val="ListParagraph"/>
        <w:numPr>
          <w:ilvl w:val="0"/>
          <w:numId w:val="6"/>
        </w:numPr>
        <w:spacing w:before="0" w:beforeAutospacing="off" w:after="240" w:afterAutospacing="off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Governador Valadares: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</w:t>
      </w:r>
      <w:r>
        <w:rPr/>
      </w:r>
      <m:oMath xmlns:m="http://schemas.openxmlformats.org/officeDocument/2006/math">
        <m:r>
          <m:t xml:space="preserve">𝑦</m:t>
        </m:r>
        <m:r>
          <m:rPr>
            <m:lit/>
            <m:nor/>
          </m:rPr>
          <m:t xml:space="preserve">=</m:t>
        </m:r>
        <m:r>
          <m:t xml:space="preserve">133,90</m:t>
        </m:r>
        <m:r>
          <m:t xml:space="preserve">𝑥</m:t>
        </m:r>
        <m:r>
          <m:rPr>
            <m:lit/>
            <m:nor/>
          </m:rPr>
          <m:t xml:space="preserve">+</m:t>
        </m:r>
        <m:r>
          <m:t xml:space="preserve">4</m:t>
        </m:r>
        <m:r>
          <m:rPr>
            <m:lit/>
            <m:nor/>
          </m:rPr>
          <m:t xml:space="preserve">E</m:t>
        </m:r>
        <m:r>
          <m:rPr>
            <m:lit/>
            <m:nor/>
          </m:rPr>
          <m:t xml:space="preserve">+</m:t>
        </m:r>
        <m:r>
          <m:t xml:space="preserve">08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| 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0,8025</m:t>
        </m:r>
      </m:oMath>
    </w:p>
    <w:p xmlns:wp14="http://schemas.microsoft.com/office/word/2010/wordml" w:rsidP="768AADBE" w14:paraId="4B56A09D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Análise Crítica:</w:t>
      </w:r>
    </w:p>
    <w:p xmlns:wp14="http://schemas.microsoft.com/office/word/2010/wordml" w:rsidP="768AADBE" w14:paraId="750BB651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O parâmetro </w:t>
      </w:r>
      <w:r>
        <w:rPr/>
      </w:r>
      <m:oMath xmlns:m="http://schemas.openxmlformats.org/officeDocument/2006/math">
        <m:sSub>
          <m:e>
            <m:r>
              <m:t xml:space="preserve">𝛽</m:t>
            </m:r>
          </m:e>
          <m:sub>
            <m:r>
              <m:t xml:space="preserve">1</m:t>
            </m:r>
          </m:sub>
        </m:sSub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positivo em ambos os modelos confirma que a receita de ambas as autarquias é </w:t>
      </w:r>
      <w:r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pró-cíclica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em relação ao PIB, ou seja, a arrecadação acompanha o crescimento económico. Contudo, a diferença nos coeficientes de determinação ($R^2$) revela realidades fiscais estruturalmente distintas.</w:t>
      </w:r>
    </w:p>
    <w:p xmlns:wp14="http://schemas.microsoft.com/office/word/2010/wordml" w:rsidP="768AADBE" w14:paraId="2FB81D1E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Em Governador Valadares, o elevadíssimo 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(80,25%) indica que o orçamento municipal é altamente sensível à macroeconomia. Esta é uma característica típica de cidades baseadas em comércio e serviços que dependem massivamente de transferências constitucionais (FPM e quota-parte do ICMS). Como alertam Biderman e Arvate (2004), esta alta elasticidade gera uma vulnerabilidade profunda: em cenários de recessão económica estadual ou nacional, as receitas de Valadares sofrem quedas abruptas, ameaçando a continuidade das políticas públicas locais.</w:t>
      </w:r>
    </w:p>
    <w:p xmlns:wp14="http://schemas.microsoft.com/office/word/2010/wordml" w:rsidP="768AADBE" w14:paraId="1A1728EC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Por outro lado, o modelo de Betim apresenta um 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moderado-baixo (38%). Esta menor dependência mecânica explica-se pela sua complexa base industrial (automóvel e petrolífera). A sua arrecadação é ditada por micro-ciclos da indústria e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royalties</w:t>
      </w:r>
      <w:r w:rsidR="768AADBE">
        <w:rPr>
          <w:rFonts w:ascii="Aptos" w:hAnsi="Aptos" w:eastAsia="Aptos" w:cs="Aptos"/>
          <w:sz w:val="24"/>
          <w:szCs w:val="24"/>
          <w:lang w:val="pt-BR"/>
        </w:rPr>
        <w:t>, conferindo-lhe uma dinâmica fiscal mais descolada do PIB geral.</w:t>
      </w:r>
    </w:p>
    <w:p xmlns:wp14="http://schemas.microsoft.com/office/word/2010/wordml" w:rsidP="768AADBE" w14:paraId="62C47306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>Para a Administração Pública Gerencial (Bresser-Pereira, 2017), os resultados deste modelo econométrico evidenciam a necessidade de um planeamento orçamental contingencial rigoroso. Especialmente em Valadares, a alta elasticidade (</w:t>
      </w:r>
      <w:r>
        <w:rPr/>
      </w:r>
      <m:oMath xmlns:m="http://schemas.openxmlformats.org/officeDocument/2006/math">
        <m:sSub>
          <m:e>
            <m:r>
              <m:t xml:space="preserve">𝛽</m:t>
            </m:r>
          </m:e>
          <m:sub>
            <m:r>
              <m:t xml:space="preserve">1</m:t>
            </m:r>
          </m:sub>
        </m:sSub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= 133,9$) exige que o Estado abandone a gestão passiva e institua fundos de reserva ou mecanismos de flexibilização da despesa para evitar que as flutuações inevitáveis do PIB comprometam a prestação de serviços universais ao cidadão.</w:t>
      </w:r>
    </w:p>
    <w:p xmlns:wp14="http://schemas.microsoft.com/office/word/2010/wordml" w:rsidP="768AADBE" w14:paraId="6537F28F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097E6AEF" wp14:textId="77777777">
      <w:pPr>
        <w:pStyle w:val="Heading4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  <w:r w:rsidRPr="768AADBE" w:rsidR="768AADBE">
        <w:rPr>
          <w:lang w:val="pt-BR"/>
        </w:rPr>
        <w:t>8) Construa mapa temático (georreferenciamento) comparando receita ou gasto per capita no estado.</w:t>
      </w:r>
    </w:p>
    <w:p xmlns:wp14="http://schemas.microsoft.com/office/word/2010/wordml" w:rsidP="768AADBE" w14:paraId="6DFB9E20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70DF9E56" wp14:textId="77777777">
      <w:pPr>
        <w:pStyle w:val="Normal"/>
        <w:spacing w:before="240" w:beforeAutospacing="off" w:after="240" w:afterAutospacing="off"/>
        <w:jc w:val="both"/>
      </w:pPr>
      <w:r w:rsidR="768AADBE">
        <w:drawing>
          <wp:inline xmlns:wp14="http://schemas.microsoft.com/office/word/2010/wordprocessingDrawing" wp14:editId="56BA097D" wp14:anchorId="40ADFEA3">
            <wp:extent cx="5762625" cy="4600575"/>
            <wp:effectExtent l="0" t="0" r="0" b="0"/>
            <wp:docPr id="11" name="Figura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7EF84D12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8.1 Metodologia </w:t>
      </w:r>
    </w:p>
    <w:p xmlns:wp14="http://schemas.microsoft.com/office/word/2010/wordml" w:rsidP="768AADBE" w14:paraId="6546859E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O mapa temático foi construído utilizando: </w:t>
      </w:r>
    </w:p>
    <w:p xmlns:wp14="http://schemas.microsoft.com/office/word/2010/wordml" w:rsidP="768AADBE" w14:paraId="3B0D812D" wp14:textId="77777777">
      <w:pPr>
        <w:pStyle w:val="ListParagraph"/>
        <w:numPr>
          <w:ilvl w:val="0"/>
          <w:numId w:val="5"/>
        </w:numPr>
        <w:bidi w:val="0"/>
        <w:spacing w:before="24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Dados: Receita Total Realizada (Siconfi/FINBRA 2023) para os 853 municípios de Minas Gerais </w:t>
      </w:r>
    </w:p>
    <w:p xmlns:wp14="http://schemas.microsoft.com/office/word/2010/wordml" w:rsidP="768AADBE" w14:paraId="6B024A19" wp14:textId="7777777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Variável: Receita per Capita = Receita Total / População </w:t>
      </w:r>
    </w:p>
    <w:p xmlns:wp14="http://schemas.microsoft.com/office/word/2010/wordml" w:rsidP="768AADBE" w14:paraId="6C266101" wp14:textId="7777777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Classificação: Quantis (5 classes) para melhor visualização das disparidades</w:t>
      </w:r>
    </w:p>
    <w:p xmlns:wp14="http://schemas.microsoft.com/office/word/2010/wordml" w:rsidP="768AADBE" w14:paraId="61A9A5C1" wp14:textId="77777777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Georreferenciamento: Malha municipal do IBGE via GeoJSON</w:t>
      </w:r>
    </w:p>
    <w:p xmlns:wp14="http://schemas.microsoft.com/office/word/2010/wordml" w:rsidP="768AADBE" w14:paraId="2728D945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8.2 Distribuição de Receita per Capita</w:t>
      </w:r>
    </w:p>
    <w:tbl>
      <w:tblPr>
        <w:tblStyle w:val="TableGrid"/>
        <w:tblW w:w="91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firstRow="1" w:lastRow="0" w:firstColumn="1" w:lastColumn="0" w:noHBand="1" w:noVBand="1"/>
      </w:tblPr>
      <w:tblGrid>
        <w:gridCol w:w="1589"/>
        <w:gridCol w:w="2940"/>
        <w:gridCol w:w="2265"/>
        <w:gridCol w:w="2402"/>
      </w:tblGrid>
      <w:tr xmlns:wp14="http://schemas.microsoft.com/office/word/2010/wordml" w:rsidTr="768AADBE" w14:paraId="230EB3DC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671FE9FF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Classe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117BB9F4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Faixa de Receita per Capita (R$)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42B16074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Número de Municípios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207ABB41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Características</w:t>
            </w:r>
          </w:p>
        </w:tc>
      </w:tr>
      <w:tr xmlns:wp14="http://schemas.microsoft.com/office/word/2010/wordml" w:rsidTr="768AADBE" w14:paraId="3EC9759A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4A74B9A8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 (Mais Baixa)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5AE88EFC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-502 a 261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324D8258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171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56FD1B32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Municípios rurais, baixa atividade econômica</w:t>
            </w:r>
          </w:p>
        </w:tc>
      </w:tr>
      <w:tr xmlns:wp14="http://schemas.microsoft.com/office/word/2010/wordml" w:rsidTr="768AADBE" w14:paraId="6E6D0D61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18F999B5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2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65AA2902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261 a 609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3B997EC3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171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34DD4CCB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Municípios pequenos, economia local limitada</w:t>
            </w:r>
          </w:p>
        </w:tc>
      </w:tr>
      <w:tr xmlns:wp14="http://schemas.microsoft.com/office/word/2010/wordml" w:rsidTr="768AADBE" w14:paraId="6275C8E2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5FCD5EC4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3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4B0C342B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609 a 3.764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5091086F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171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5BE68207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Municípios médios, alguma atividade econômica</w:t>
            </w:r>
          </w:p>
        </w:tc>
      </w:tr>
      <w:tr xmlns:wp14="http://schemas.microsoft.com/office/word/2010/wordml" w:rsidTr="768AADBE" w14:paraId="4AC825F1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2598DEE6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4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7B9E62F8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3.764 a 6.237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6EBA4798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171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0FA0B0DF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Municípios maiores, economia mais diversificada</w:t>
            </w:r>
          </w:p>
        </w:tc>
      </w:tr>
      <w:tr xmlns:wp14="http://schemas.microsoft.com/office/word/2010/wordml" w:rsidTr="768AADBE" w14:paraId="654E2B0A" wp14:textId="77777777">
        <w:trPr>
          <w:trHeight w:val="300" w:hRule="atLeast"/>
        </w:trPr>
        <w:tc>
          <w:tcPr>
            <w:tcW w:w="1589" w:type="dxa"/>
            <w:tcBorders/>
            <w:tcMar/>
            <w:vAlign w:val="center"/>
          </w:tcPr>
          <w:p w:rsidP="768AADBE" w14:paraId="4E55B3FE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5 (Mais Alta)</w:t>
            </w:r>
          </w:p>
        </w:tc>
        <w:tc>
          <w:tcPr>
            <w:tcW w:w="2940" w:type="dxa"/>
            <w:tcBorders/>
            <w:tcMar/>
            <w:vAlign w:val="center"/>
          </w:tcPr>
          <w:p w:rsidP="768AADBE" w14:paraId="4189932C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6.237 a 92.397</w:t>
            </w:r>
          </w:p>
        </w:tc>
        <w:tc>
          <w:tcPr>
            <w:tcW w:w="2265" w:type="dxa"/>
            <w:tcBorders/>
            <w:tcMar/>
            <w:vAlign w:val="center"/>
          </w:tcPr>
          <w:p w:rsidP="768AADBE" w14:paraId="01687A06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169</w:t>
            </w:r>
          </w:p>
        </w:tc>
        <w:tc>
          <w:tcPr>
            <w:tcW w:w="2402" w:type="dxa"/>
            <w:tcBorders/>
            <w:tcMar/>
            <w:vAlign w:val="center"/>
          </w:tcPr>
          <w:p w:rsidP="768AADBE" w14:paraId="61E223B8" wp14:textId="77777777">
            <w:pPr>
              <w:pStyle w:val="Normal"/>
              <w:widowControl w:val="1"/>
              <w:bidi w:val="0"/>
              <w:spacing w:before="0" w:after="0" w:line="240" w:lineRule="auto"/>
              <w:jc w:val="both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 w:rsidR="768AADBE">
              <w:rPr>
                <w:rFonts w:ascii="Aptos" w:hAnsi="Aptos" w:eastAsia="Aptos" w:cs="Aptos"/>
                <w:kern w:val="0"/>
                <w:sz w:val="24"/>
                <w:szCs w:val="24"/>
                <w:lang w:val="pt-BR" w:eastAsia="en-US" w:bidi="ar-SA"/>
              </w:rPr>
              <w:t>Polos econômicos, indústria, comércio</w:t>
            </w:r>
          </w:p>
        </w:tc>
      </w:tr>
    </w:tbl>
    <w:p xmlns:wp14="http://schemas.microsoft.com/office/word/2010/wordml" w:rsidP="768AADBE" w14:paraId="3EBDF0B4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8.3 Análise de Disparidades </w:t>
      </w:r>
    </w:p>
    <w:p xmlns:wp14="http://schemas.microsoft.com/office/word/2010/wordml" w:rsidP="768AADBE" w14:paraId="52E62CA7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Regionais Regiões de Maior Receita per Capita (Classe 5): </w:t>
      </w:r>
    </w:p>
    <w:p xmlns:wp14="http://schemas.microsoft.com/office/word/2010/wordml" w:rsidP="768AADBE" w14:paraId="601AF7C6" wp14:textId="77777777">
      <w:pPr>
        <w:pStyle w:val="ListParagraph"/>
        <w:numPr>
          <w:ilvl w:val="0"/>
          <w:numId w:val="3"/>
        </w:numPr>
        <w:bidi w:val="0"/>
        <w:spacing w:before="24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Quadrilátero Ferrífero: Municípios como Itabira, Congonhas, Ouro Preto beneficiam-se da mineração e arrecadam CFEM (Compensação Financeira pela Exploração de Recursos Minerais) </w:t>
      </w:r>
    </w:p>
    <w:p xmlns:wp14="http://schemas.microsoft.com/office/word/2010/wordml" w:rsidP="768AADBE" w14:paraId="6C87E888" wp14:textId="7777777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Triângulo Mineiro: Cidades como Uberlândia e Araxá, com forte atividade comercial e industrial </w:t>
      </w:r>
    </w:p>
    <w:p xmlns:wp14="http://schemas.microsoft.com/office/word/2010/wordml" w:rsidP="768AADBE" w14:paraId="325D2267" wp14:textId="77777777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Região Metropolitana de Belo Horizonte: Betim, Contagem, Sete Lagoas, com indústria diversificada </w:t>
      </w:r>
    </w:p>
    <w:p xmlns:wp14="http://schemas.microsoft.com/office/word/2010/wordml" w:rsidP="768AADBE" w14:paraId="1578044B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Regiões de Menor Receita per Capita (Classe 1): </w:t>
      </w:r>
    </w:p>
    <w:p xmlns:wp14="http://schemas.microsoft.com/office/word/2010/wordml" w:rsidP="768AADBE" w14:paraId="199201BC" wp14:textId="77777777">
      <w:pPr>
        <w:pStyle w:val="ListParagraph"/>
        <w:numPr>
          <w:ilvl w:val="0"/>
          <w:numId w:val="4"/>
        </w:numPr>
        <w:bidi w:val="0"/>
        <w:spacing w:before="24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Norte de Minas: Municípios como Montes Claros e região, com economia baseada em agricultura de subsistência </w:t>
      </w:r>
    </w:p>
    <w:p xmlns:wp14="http://schemas.microsoft.com/office/word/2010/wordml" w:rsidP="768AADBE" w14:paraId="6CE2CD57" wp14:textId="7777777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Vale do Jequitinhonha: Região historicamente deprimida, com baixa atividade econômica formal</w:t>
      </w:r>
    </w:p>
    <w:p xmlns:wp14="http://schemas.microsoft.com/office/word/2010/wordml" w:rsidP="768AADBE" w14:paraId="4AE458F4" wp14:textId="77777777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Vale do Mucuri: Municípios pequenos, isolados, com pouca infraestrutura</w:t>
      </w:r>
    </w:p>
    <w:p xmlns:wp14="http://schemas.microsoft.com/office/word/2010/wordml" w:rsidP="768AADBE" w14:paraId="35A3E86E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8.4 Localização de Betim e Governador Valadares </w:t>
      </w:r>
    </w:p>
    <w:p xmlns:wp14="http://schemas.microsoft.com/office/word/2010/wordml" w:rsidP="768AADBE" w14:paraId="61671566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Betim/MG: </w:t>
      </w:r>
    </w:p>
    <w:p xmlns:wp14="http://schemas.microsoft.com/office/word/2010/wordml" w:rsidP="768AADBE" w14:paraId="3E51343B" wp14:textId="77777777">
      <w:pPr>
        <w:pStyle w:val="ListParagraph"/>
        <w:numPr>
          <w:ilvl w:val="0"/>
          <w:numId w:val="1"/>
        </w:numPr>
        <w:bidi w:val="0"/>
        <w:spacing w:before="24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Localização: Região Metropolitana de Belo Horizonte (Classe 4-5) </w:t>
      </w:r>
    </w:p>
    <w:p xmlns:wp14="http://schemas.microsoft.com/office/word/2010/wordml" w:rsidP="768AADBE" w14:paraId="32DD39CD" wp14:textId="7777777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Receita per Capita 2023: R$ 6.562 </w:t>
      </w:r>
    </w:p>
    <w:p xmlns:wp14="http://schemas.microsoft.com/office/word/2010/wordml" w:rsidP="768AADBE" w14:paraId="082E37C0" wp14:textId="7777777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Características: Polo industrial, presença de grandes empresas (Fiat, etc.) </w:t>
      </w:r>
    </w:p>
    <w:p xmlns:wp14="http://schemas.microsoft.com/office/word/2010/wordml" w:rsidP="768AADBE" w14:paraId="15173AA1" wp14:textId="77777777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Classificação: Acima da média estadual </w:t>
      </w:r>
    </w:p>
    <w:p xmlns:wp14="http://schemas.microsoft.com/office/word/2010/wordml" w:rsidP="768AADBE" w14:paraId="3D4308ED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Governador Valadares/MG: </w:t>
      </w:r>
    </w:p>
    <w:p xmlns:wp14="http://schemas.microsoft.com/office/word/2010/wordml" w:rsidP="768AADBE" w14:paraId="5863BF3E" wp14:textId="77777777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Localização: Vale do Rio Doce (Classe 3-4) </w:t>
      </w:r>
    </w:p>
    <w:p xmlns:wp14="http://schemas.microsoft.com/office/word/2010/wordml" w:rsidP="768AADBE" w14:paraId="1B487933" wp14:textId="7777777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Receita per Capita 2023: R$ 5.481 </w:t>
      </w:r>
    </w:p>
    <w:p xmlns:wp14="http://schemas.microsoft.com/office/word/2010/wordml" w:rsidP="768AADBE" w14:paraId="18D6E6A8" wp14:textId="7777777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Características: Polo regional, comércio e serviços </w:t>
      </w:r>
    </w:p>
    <w:p xmlns:wp14="http://schemas.microsoft.com/office/word/2010/wordml" w:rsidP="768AADBE" w14:paraId="5A5BC8CB" wp14:textId="77777777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 w:line="278" w:lineRule="auto"/>
        <w:ind w:start="720" w:end="0" w:hanging="360"/>
        <w:contextualSpacing w:val="1"/>
        <w:jc w:val="both"/>
        <w:rPr>
          <w:rFonts w:ascii="Aptos" w:hAnsi="Aptos" w:eastAsia="Aptos" w:cs="Aptos"/>
          <w:sz w:val="24"/>
          <w:szCs w:val="24"/>
          <w:lang w:val="pt-BR"/>
        </w:rPr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Classificação: Próximo à média estadual</w:t>
      </w:r>
    </w:p>
    <w:p xmlns:wp14="http://schemas.microsoft.com/office/word/2010/wordml" w:rsidP="768AADBE" w14:paraId="53B686D8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8.5 Implicações para Políticas Públicas </w:t>
      </w:r>
    </w:p>
    <w:p xmlns:wp14="http://schemas.microsoft.com/office/word/2010/wordml" w:rsidP="768AADBE" w14:paraId="66C284D5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1. Necessidade de Equalização Fiscal: O FPM (Fundo de Participação dos Municípios) é essencial para municípios de baixa receita per capita </w:t>
      </w:r>
    </w:p>
    <w:p xmlns:wp14="http://schemas.microsoft.com/office/word/2010/wordml" w:rsidP="768AADBE" w14:paraId="65C26D54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2. Desenvolvimento Regional: Políticas de atração de investimentos são críticas para regiões deprimidas </w:t>
      </w:r>
    </w:p>
    <w:p xmlns:wp14="http://schemas.microsoft.com/office/word/2010/wordml" w:rsidP="768AADBE" w14:paraId="615B57DB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3. Sustentabilidade Fiscal: Municípios de alta receita per capita têm maior capacidade de investimento e inovação </w:t>
      </w:r>
    </w:p>
    <w:p xmlns:wp14="http://schemas.microsoft.com/office/word/2010/wordml" w:rsidP="768AADBE" w14:paraId="385F7090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4. Redução de Desigualdades: A disparidade de 92.397 / 261 = 354x entre o município mais rico e mais pobre é preocupante</w:t>
      </w:r>
    </w:p>
    <w:p xmlns:wp14="http://schemas.microsoft.com/office/word/2010/wordml" w:rsidP="768AADBE" w14:paraId="7B2FF309" wp14:textId="77777777">
      <w:pPr>
        <w:pStyle w:val="Heading4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  <w:r w:rsidRPr="768AADBE" w:rsidR="768AADBE">
        <w:rPr>
          <w:lang w:val="pt-BR"/>
        </w:rPr>
        <w:t>9) Análise uma falha de mercado e como o gasto público atua (com dados reais).</w:t>
      </w:r>
    </w:p>
    <w:p xmlns:wp14="http://schemas.microsoft.com/office/word/2010/wordml" w:rsidP="768AADBE" w14:paraId="44C21737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Intervenção Estatal e Falhas de Mercado</w:t>
      </w:r>
    </w:p>
    <w:p xmlns:wp14="http://schemas.microsoft.com/office/word/2010/wordml" w:rsidP="768AADBE" w14:paraId="0DC08C2A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Uma das falhas de mercado mais clássicas estudadas nas Finanças Públicas é a provisão subótima de "Bens Públicos" ou "Bens Meritórios" (Giambiagi &amp; Além, 2011). O mercado privado, movido pela lógica do lucro e do princípio da exclusão (quem não paga não consome), falha em fornecer acesso universal à educação e à saúde, áreas que geram imensas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externalidades positivas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para o desenvolvimento do estado-nação.</w:t>
      </w:r>
    </w:p>
    <w:p xmlns:wp14="http://schemas.microsoft.com/office/word/2010/wordml" w:rsidP="768AADBE" w14:paraId="33AD153C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Nos entes federativos analisados, esta falha de mercado justifica e obriga a uma massiva intervenção alocativa através do Gasto Público. Ao analisarmos a composição das despesas liquidadas de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Governador Valadares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(dados do Siconfi), constata-se que o município destina anualmente montantes vultosos para a manutenção do Sistema Único de Saúde (SUS) e da rede de ensino fundamental (financiada via FUNDEB).</w:t>
      </w:r>
    </w:p>
    <w:p xmlns:wp14="http://schemas.microsoft.com/office/word/2010/wordml" w:rsidP="768AADBE" w14:paraId="7B91E32C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Análise Crítica: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De acordo com a teoria da Administração Pública Gerencial (Bresser-Pereira, 2017), ao atuar na correção desta falha de mercado prestando serviços sociais, o Estado não deve atuar apenas como um mero repassador de verbas. O grande volume de recursos públicos injetados em Valadares para garantir bens meritórios deve ser gerido sob estrita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accountability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 de resultados. O Estado justifica a sua legitimidade de tributar a sociedade na exata medida em que consegue corrigir a ineficiência do mercado privado, assegurando equidade e reduzindo a pobreza por meio destes gastos essenciais.</w:t>
      </w:r>
    </w:p>
    <w:p xmlns:wp14="http://schemas.microsoft.com/office/word/2010/wordml" w:rsidP="768AADBE" w14:paraId="44E871BC" wp14:textId="7777777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lang w:val="pt-BR"/>
        </w:rPr>
      </w:pPr>
    </w:p>
    <w:p xmlns:wp14="http://schemas.microsoft.com/office/word/2010/wordml" w:rsidP="768AADBE" w14:paraId="124275DE" wp14:textId="77777777">
      <w:pPr>
        <w:pStyle w:val="Heading4"/>
        <w:jc w:val="both"/>
      </w:pPr>
      <w:r w:rsidRPr="768AADBE" w:rsidR="768AADBE">
        <w:rPr>
          <w:lang w:val="pt-BR"/>
        </w:rPr>
        <w:t>10) Elabore diagnóstico fiscal integrado com base em todos os dados analisados, por meio de um painel disponibilizado no Power BI ou ferramentas similares.</w:t>
      </w:r>
    </w:p>
    <w:p xmlns:wp14="http://schemas.microsoft.com/office/word/2010/wordml" w:rsidP="768AADBE" w14:paraId="1886737F" wp14:textId="77777777">
      <w:pPr>
        <w:pStyle w:val="Normal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Painel de Indicadores e Diagnóstico Fiscal Integrado</w:t>
      </w:r>
    </w:p>
    <w:p xmlns:wp14="http://schemas.microsoft.com/office/word/2010/wordml" w:rsidP="768AADBE" w14:paraId="144A5D23" wp14:textId="77777777">
      <w:pPr>
        <w:pStyle w:val="Normal"/>
        <w:spacing w:before="0" w:beforeAutospacing="off" w:after="240" w:afterAutospacing="off"/>
        <w:jc w:val="both"/>
      </w:pPr>
      <w:r w:rsidR="768AADBE">
        <w:drawing>
          <wp:inline xmlns:wp14="http://schemas.microsoft.com/office/word/2010/wordprocessingDrawing" wp14:editId="0F68FB73" wp14:anchorId="55787FA2">
            <wp:extent cx="5762625" cy="1724025"/>
            <wp:effectExtent l="0" t="0" r="0" b="0"/>
            <wp:docPr id="12" name="Figura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68AADBE" w14:paraId="60D9CCEB" wp14:textId="77777777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i w:val="1"/>
          <w:iCs w:val="1"/>
          <w:sz w:val="24"/>
          <w:szCs w:val="24"/>
          <w:lang w:val="pt-BR"/>
        </w:rPr>
      </w:pPr>
      <w:hyperlink r:id="R36dca0c56c3748ad">
        <w:r w:rsidRPr="768AADBE" w:rsidR="768AADBE">
          <w:rPr>
            <w:rStyle w:val="Hyperlink"/>
            <w:rFonts w:ascii="Aptos" w:hAnsi="Aptos" w:eastAsia="Aptos" w:cs="Aptos"/>
            <w:i w:val="1"/>
            <w:iCs w:val="1"/>
            <w:sz w:val="24"/>
            <w:szCs w:val="24"/>
            <w:lang w:val="pt-BR"/>
          </w:rPr>
          <w:t>LINK DASHBORD COMPLETO</w:t>
        </w:r>
      </w:hyperlink>
    </w:p>
    <w:p xmlns:wp14="http://schemas.microsoft.com/office/word/2010/wordml" w:rsidP="768AADBE" w14:paraId="3FEFFB4D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A consolidação dos indicadores e modelos econométricos desenvolvidos nesta análise permite formular um diagnóstico fiscal estrutural, evidenciando as profundas assimetrias na federação brasileira e a necessidade de aprofundamento das reformas gerenciais.</w:t>
      </w:r>
    </w:p>
    <w:p xmlns:wp14="http://schemas.microsoft.com/office/word/2010/wordml" w:rsidP="768AADBE" w14:paraId="62F3ED09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>A partir de uma perspectiva "top-down", verificou-se que o pacto federativo impõe dinâmicas de financiamento radicalmente diferentes para entes de um mesmo Estado-Nação (Bresser-Pereira, 2017). Governador Valadares, com uma matriz focada em serviços, atua como um "município rebocado": o modelo de regressão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0,80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) atesta sua submissão quase total às flutuações macroeconômicas. Sua autonomia financeira é asfixiada pela "ilusão fiscal" gerada pelas transferências constitucionais correntes (Biderman &amp; Arvate, 2004), o que enfraquece a </w:t>
      </w:r>
      <w:r w:rsidRPr="768AADBE" w:rsidR="768AADBE">
        <w:rPr>
          <w:rFonts w:ascii="Aptos" w:hAnsi="Aptos" w:eastAsia="Aptos" w:cs="Aptos"/>
          <w:i w:val="1"/>
          <w:iCs w:val="1"/>
          <w:sz w:val="24"/>
          <w:szCs w:val="24"/>
          <w:lang w:val="pt-BR"/>
        </w:rPr>
        <w:t>accountability</w:t>
      </w:r>
      <w:r w:rsidR="768AADBE">
        <w:rPr>
          <w:rFonts w:ascii="Aptos" w:hAnsi="Aptos" w:eastAsia="Aptos" w:cs="Aptos"/>
          <w:sz w:val="24"/>
          <w:szCs w:val="24"/>
          <w:lang w:val="pt-BR"/>
        </w:rPr>
        <w:t xml:space="preserve"> local.</w:t>
      </w:r>
    </w:p>
    <w:p xmlns:wp14="http://schemas.microsoft.com/office/word/2010/wordml" w:rsidP="768AADBE" w14:paraId="69856519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>Em contraste, Betim apresenta características de "município indutor". A sua robusta arrecadação tributária própria e a elasticidade mais isolada frente ao PIB geral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0,38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>) demonstram uma resiliência fiscal proporcionada por uma economia complexa de base industrial. Contudo, a modelação da Curva de Laffer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0,68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>) comprova que essa capacidade extrativa encontra limites concretos: a gestão em Betim precisa focar-se na modicidade tributária para não afugentar a base de capitais que sustenta o seu modelo.</w:t>
      </w:r>
    </w:p>
    <w:p xmlns:wp14="http://schemas.microsoft.com/office/word/2010/wordml" w:rsidP="768AADBE" w14:paraId="6168122C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Conclusão de Governança Pública:</w:t>
      </w:r>
    </w:p>
    <w:p xmlns:wp14="http://schemas.microsoft.com/office/word/2010/wordml" w:rsidP="768AADBE" w14:paraId="6F48A299" wp14:textId="77777777">
      <w:pPr>
        <w:pStyle w:val="Normal"/>
        <w:spacing w:before="0" w:beforeAutospacing="off" w:after="240" w:afterAutospacing="off"/>
        <w:jc w:val="both"/>
      </w:pPr>
      <w:r w:rsidR="768AADBE">
        <w:rPr>
          <w:rFonts w:ascii="Aptos" w:hAnsi="Aptos" w:eastAsia="Aptos" w:cs="Aptos"/>
          <w:sz w:val="24"/>
          <w:szCs w:val="24"/>
          <w:lang w:val="pt-BR"/>
        </w:rPr>
        <w:t>O dado mais alarmante deste diagnóstico recai sobre a qualidade da despesa pública. A regressão entre os gastos correntes reais de Betim e os seus resultados no Índice de Desenvolvimento da Educação Básica revelou uma correlação quase nula (</w:t>
      </w:r>
      <w:r>
        <w:rPr/>
      </w:r>
      <m:oMath xmlns:m="http://schemas.openxmlformats.org/officeDocument/2006/math">
        <m:sSup>
          <m:e>
            <m:r>
              <m:t xml:space="preserve">𝑅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t xml:space="preserve">0,08</m:t>
        </m:r>
      </m:oMath>
      <w:r w:rsidR="768AADBE">
        <w:rPr>
          <w:rFonts w:ascii="Aptos" w:hAnsi="Aptos" w:eastAsia="Aptos" w:cs="Aptos"/>
          <w:sz w:val="24"/>
          <w:szCs w:val="24"/>
          <w:lang w:val="pt-BR"/>
        </w:rPr>
        <w:t>). Como fundamentado por Anna Maria Campos (1990) e pelo PDRAE (1995), o Estado brasileiro consolidou a legalidade contábil, mas falha na "accountability de resultados".</w:t>
      </w:r>
    </w:p>
    <w:p xmlns:wp14="http://schemas.microsoft.com/office/word/2010/wordml" w:rsidP="768AADBE" w14:paraId="05F7ADE9" wp14:textId="77777777">
      <w:pPr>
        <w:pStyle w:val="Normal"/>
        <w:spacing w:before="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Tanto na Indonésia analisada na Questão 1 e 2, quanto no leste ou no centro de Minas Gerais, o desafio contemporâneo das Finanças Públicas não reside apenas na busca matemática pelo superávit. A urgência concentra-se na transição definitiva para a Administração Pública Gerencial: o foco deve migrar do mero contingenciamento burocrático (saúde fiscal aparente) para a efetividade real das políticas públicas, assegurando que o dinheiro arrecadado — seja ele oriundo do esforço tributário local ou de repasses do FPM — se converta de fato na indução de desenvolvimento e correção estrutural das falhas de mercado.</w:t>
      </w:r>
    </w:p>
    <w:p xmlns:wp14="http://schemas.microsoft.com/office/word/2010/wordml" w:rsidP="768AADBE" w14:paraId="738610EB" wp14:textId="77777777">
      <w:pPr>
        <w:pStyle w:val="Normal"/>
        <w:jc w:val="both"/>
      </w:pPr>
    </w:p>
    <w:p xmlns:wp14="http://schemas.microsoft.com/office/word/2010/wordml" w:rsidP="768AADBE" w14:paraId="637805D2" wp14:textId="77777777">
      <w:pPr>
        <w:pStyle w:val="Normal"/>
        <w:jc w:val="both"/>
      </w:pPr>
      <w:r>
        <w:br w:type="page"/>
      </w:r>
    </w:p>
    <w:p xmlns:wp14="http://schemas.microsoft.com/office/word/2010/wordml" w:rsidP="768AADBE" w14:paraId="36F882A4" wp14:textId="77777777">
      <w:pPr>
        <w:pStyle w:val="Heading4"/>
        <w:spacing w:before="0" w:after="40"/>
        <w:jc w:val="both"/>
      </w:pPr>
      <w:r w:rsidRPr="768AADBE" w:rsidR="768AADBE">
        <w:rPr>
          <w:lang w:val="pt-BR"/>
        </w:rPr>
        <w:t>Referências Bibliográficas</w:t>
      </w:r>
    </w:p>
    <w:p xmlns:wp14="http://schemas.microsoft.com/office/word/2010/wordml" w:rsidP="768AADBE" w14:paraId="75959F4E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BIDERMAN, Ciro; ARVATE, Paulo (Org.).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Economia do Setor Público no Brasil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 Rio de Janeiro: Elsevier/Campus, 2004.</w:t>
      </w:r>
    </w:p>
    <w:p xmlns:wp14="http://schemas.microsoft.com/office/word/2010/wordml" w:rsidP="768AADBE" w14:paraId="40AD0946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BRASIL. Presidência da República.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Plano Diretor da Reforma do Aparelho do Estado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 Brasília: Presidência da República, Câmara da Reforma do Estado, 1995.</w:t>
      </w:r>
    </w:p>
    <w:p xmlns:wp14="http://schemas.microsoft.com/office/word/2010/wordml" w:rsidP="768AADBE" w14:paraId="6DBD4B70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BRESSER-PEREIRA, Luiz Carlos. Estado, Estado-nação e formas de intermediação política.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Lua Nova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São Paulo, n. 100, p. 155-185, 2017.</w:t>
      </w:r>
    </w:p>
    <w:p xmlns:wp14="http://schemas.microsoft.com/office/word/2010/wordml" w:rsidP="768AADBE" w14:paraId="7432673F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CAMPOS, Anna Maria. Accountability: quando poderemos traduzi-la para o português?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Revista de Administração Pública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Rio de Janeiro, v. 24, n. 2, p. 30-50, fev./abr. 1990.</w:t>
      </w:r>
    </w:p>
    <w:p xmlns:wp14="http://schemas.microsoft.com/office/word/2010/wordml" w:rsidP="768AADBE" w14:paraId="3DBE1DB3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GIAMBIAGI, Fabio; ALÉM, Ana Cláudia.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Finanças Públicas: Teoria e Prática no Brasil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 4. ed. Rio de Janeiro: Elsevier, 2011.</w:t>
      </w:r>
    </w:p>
    <w:p xmlns:wp14="http://schemas.microsoft.com/office/word/2010/wordml" w:rsidP="768AADBE" w14:paraId="16CF128D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LAFFER, Arthur. The Laffer Curve: Past, Present, and Future.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Heritage Foundation Backgrounder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n. 1765, 2004.</w:t>
      </w:r>
    </w:p>
    <w:p xmlns:wp14="http://schemas.microsoft.com/office/word/2010/wordml" w:rsidP="768AADBE" w14:paraId="1FD07125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MENEZES, Marcos Vinicius.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Arquivos e base de dados do trabalho da P1 de Finanças Públicas - Matrícula 241021847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. Repositório de dados no GitHub. Disponível em: </w:t>
      </w:r>
      <w:hyperlink r:id="R4b6bd51781fb4934">
        <w:r w:rsidRPr="768AADBE" w:rsidR="768AADBE">
          <w:rPr>
            <w:rStyle w:val="Hyperlink"/>
            <w:rFonts w:ascii="Aptos" w:hAnsi="Aptos" w:eastAsia="Aptos" w:cs="Aptos"/>
            <w:sz w:val="24"/>
            <w:szCs w:val="24"/>
            <w:lang w:val="pt-BR"/>
          </w:rPr>
          <w:t>https://github.com/marcosviniciusmenezes500-commits/Financas_Publicas_P1_241021847</w:t>
        </w:r>
      </w:hyperlink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</w:t>
      </w:r>
    </w:p>
    <w:p xmlns:wp14="http://schemas.microsoft.com/office/word/2010/wordml" w:rsidP="768AADBE" w14:paraId="4A66A3F2" wp14:textId="77777777">
      <w:pPr>
        <w:pStyle w:val="Normal"/>
        <w:spacing w:before="240" w:beforeAutospacing="off" w:after="240" w:afterAutospacing="off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PINHO, José Antonio Gomes de; SACRAMENTO, Ana Rita Silva. Accountability: já podemos traduzi-la para o português? </w:t>
      </w:r>
      <w:r w:rsidRPr="768AADBE" w:rsidR="768AADBE">
        <w:rPr>
          <w:rFonts w:ascii="Aptos" w:hAnsi="Aptos" w:eastAsia="Aptos" w:cs="Aptos"/>
          <w:b w:val="1"/>
          <w:bCs w:val="1"/>
          <w:sz w:val="24"/>
          <w:szCs w:val="24"/>
          <w:lang w:val="pt-BR"/>
        </w:rPr>
        <w:t>Revista de Administração Pública</w:t>
      </w: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, Rio de Janeiro, v. 43, n. 6, p. 1343-1368, nov./dez. 2009.</w:t>
      </w:r>
    </w:p>
    <w:p xmlns:wp14="http://schemas.microsoft.com/office/word/2010/wordml" w:rsidP="768AADBE" w14:paraId="524E6FF3" wp14:textId="77777777">
      <w:pPr>
        <w:pStyle w:val="Normal"/>
        <w:suppressLineNumbers w:val="0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 xml:space="preserve">SECRETARIA DO TESOURO NACIONAL (STN). Siconfi: Sistema de Informações Contábeis e Fiscais do Setor Público Brasileiro (FINBRA 2014-2023). Disponível em: </w:t>
      </w:r>
      <w:hyperlink r:id="Rc6b4392748a142f8">
        <w:r w:rsidRPr="768AADBE" w:rsidR="768AADBE">
          <w:rPr>
            <w:rStyle w:val="Hyperlink"/>
            <w:rFonts w:ascii="Aptos" w:hAnsi="Aptos" w:eastAsia="Aptos" w:cs="Aptos"/>
            <w:sz w:val="24"/>
            <w:szCs w:val="24"/>
            <w:lang w:val="pt-BR"/>
          </w:rPr>
          <w:t>https://siconfi.tesouro.gov.br/</w:t>
        </w:r>
      </w:hyperlink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.</w:t>
      </w:r>
    </w:p>
    <w:p xmlns:wp14="http://schemas.microsoft.com/office/word/2010/wordml" w:rsidP="768AADBE" w14:paraId="122B9344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WORLD BANK. Indonesia Economic Prospect.</w:t>
      </w:r>
    </w:p>
    <w:p xmlns:wp14="http://schemas.microsoft.com/office/word/2010/wordml" w:rsidP="768AADBE" w14:paraId="28DDE376" wp14:textId="77777777">
      <w:pPr>
        <w:pStyle w:val="Normal"/>
        <w:bidi w:val="0"/>
        <w:spacing w:before="240" w:beforeAutospacing="off" w:after="240" w:afterAutospacing="off" w:line="278" w:lineRule="auto"/>
        <w:ind w:start="0" w:end="0"/>
        <w:jc w:val="both"/>
      </w:pPr>
      <w:r w:rsidRPr="768AADBE" w:rsidR="768AADBE">
        <w:rPr>
          <w:rFonts w:ascii="Aptos" w:hAnsi="Aptos" w:eastAsia="Aptos" w:cs="Aptos"/>
          <w:sz w:val="24"/>
          <w:szCs w:val="24"/>
          <w:lang w:val="pt-BR"/>
        </w:rPr>
        <w:t>INEP. Indicadores Educacionais (IDEB). Disponível em: https://www.gov.br/inep/.</w:t>
      </w:r>
    </w:p>
    <w:p xmlns:wp14="http://schemas.microsoft.com/office/word/2010/wordml" w:rsidP="768AADBE" w14:paraId="463F29E8" wp14:textId="77777777">
      <w:pPr>
        <w:pStyle w:val="Normal"/>
        <w:spacing w:before="240" w:beforeAutospacing="off" w:after="240" w:afterAutospacing="off"/>
        <w:jc w:val="both"/>
        <w:rPr>
          <w:lang w:val="pt-BR"/>
        </w:rPr>
      </w:pPr>
    </w:p>
    <w:p xmlns:wp14="http://schemas.microsoft.com/office/word/2010/wordml" w:rsidP="768AADBE" w14:paraId="3B7B4B86" wp14:textId="77777777">
      <w:pPr>
        <w:pStyle w:val="Normal"/>
        <w:spacing w:before="240" w:beforeAutospacing="off" w:after="240" w:afterAutospacing="off"/>
        <w:ind w:start="0"/>
        <w:jc w:val="both"/>
        <w:rPr>
          <w:rFonts w:ascii="Aptos" w:hAnsi="Aptos" w:eastAsia="Aptos" w:cs="Aptos"/>
          <w:sz w:val="24"/>
          <w:szCs w:val="24"/>
          <w:lang w:val="pt-BR"/>
        </w:rPr>
      </w:pPr>
    </w:p>
    <w:p xmlns:wp14="http://schemas.microsoft.com/office/word/2010/wordml" w:rsidP="768AADBE" w14:paraId="3A0FF5F2" wp14:textId="77777777">
      <w:pPr>
        <w:pStyle w:val="Normal"/>
        <w:spacing w:before="0" w:after="160"/>
        <w:jc w:val="both"/>
      </w:pPr>
    </w:p>
    <w:sectPr>
      <w:footerReference w:type="even" r:id="rId18"/>
      <w:footerReference w:type="default" r:id="rId19"/>
      <w:footerReference w:type="first" r:id="rId20"/>
      <w:type w:val="nextPage"/>
      <w:pgSz w:w="11906" w:h="16838" w:orient="portrait"/>
      <w:pgMar w:top="1701" w:right="1134" w:bottom="1134" w:left="1701" w:header="0" w:footer="72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630AD66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14:paraId="61829076" wp14:textId="77777777">
      <w:trPr>
        <w:trHeight w:val="300" w:hRule="atLeast"/>
      </w:trPr>
      <w:tc>
        <w:tcPr>
          <w:tcW w:w="3005" w:type="dxa"/>
          <w:tcBorders/>
        </w:tcPr>
        <w:p w14:paraId="2BA226A1" wp14:textId="77777777"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05" w:type="dxa"/>
          <w:tcBorders/>
        </w:tcPr>
        <w:p w14:paraId="17AD93B2" wp14:textId="77777777"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05" w:type="dxa"/>
          <w:tcBorders/>
        </w:tcPr>
        <w:p w14:paraId="0DE4B5B7" wp14:textId="77777777"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</w:tr>
  </w:tbl>
  <w:p xmlns:wp14="http://schemas.microsoft.com/office/word/2010/wordml" w14:paraId="66204FF1" wp14:textId="77777777"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14:paraId="2DBF0D7D" wp14:textId="77777777">
      <w:trPr>
        <w:trHeight w:val="300" w:hRule="atLeast"/>
      </w:trPr>
      <w:tc>
        <w:tcPr>
          <w:tcW w:w="3005" w:type="dxa"/>
          <w:tcBorders/>
        </w:tcPr>
        <w:p w14:paraId="6B62F1B3" wp14:textId="77777777"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05" w:type="dxa"/>
          <w:tcBorders/>
        </w:tcPr>
        <w:p w14:paraId="02F2C34E" wp14:textId="77777777"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05" w:type="dxa"/>
          <w:tcBorders/>
        </w:tcPr>
        <w:p w14:paraId="680A4E5D" wp14:textId="77777777"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t-BR" w:eastAsia="en-US" w:bidi="ar-SA"/>
            </w:rPr>
          </w:r>
        </w:p>
      </w:tc>
    </w:tr>
  </w:tbl>
  <w:p xmlns:wp14="http://schemas.microsoft.com/office/word/2010/wordml" w14:paraId="19219836" wp14:textId="77777777">
    <w:pPr>
      <w:pStyle w:val="Footer"/>
      <w:bidi w:val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62bc5c97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4b2bae53"/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803395"/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366162f7"/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3c23b7a9"/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5969d7a4"/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2e48c4a2"/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ae6044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  <w14:docId w14:val="025D052F"/>
  <w15:docId w15:val="{24C525C4-4F4D-4A84-A87F-734E48B06C33}"/>
  <w:rsids>
    <w:rsidRoot w:val="1609F874"/>
    <w:rsid w:val="1609F874"/>
    <w:rsid w:val="768AADB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78" w:lineRule="auto"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pt-BR" w:eastAsia="en-US" w:bidi="ar-SA"/>
    </w:rPr>
  </w:style>
  <w:style w:type="paragraph" w:styleId="Heading3">
    <w:name w:val="heading 3"/>
    <w:basedOn w:val="Normal"/>
    <w:next w:val="Normal"/>
    <w:uiPriority w:val="9"/>
    <w:unhideWhenUsed/>
    <w:qFormat/>
    <w:rsid w:val="31898954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85fabfe"/>
    <w:rPr>
      <w:color w:val="467886"/>
      <w:u w:val="single"/>
    </w:rPr>
  </w:style>
  <w:style w:type="character" w:styleId="Heading4Char" w:customStyle="1">
    <w:name w:val="Heading 4 Char"/>
    <w:basedOn w:val="DefaultParagraphFont"/>
    <w:uiPriority w:val="9"/>
    <w:qFormat/>
    <w:rPr>
      <w:rFonts w:eastAsia="" w:cs="" w:eastAsiaTheme="majorEastAsia" w:cstheme="majorBidi"/>
      <w:i/>
      <w:iCs/>
      <w:color w:val="0F4761" w:themeColor="accent1" w:themeShade="bf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31898954"/>
    <w:pPr>
      <w:spacing w:before="0" w:after="160"/>
      <w:ind w:star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uiPriority w:val="99"/>
    <w:unhideWhenUsed/>
    <w:rsid w:val="085fabfe"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085fabfe"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4" /><Relationship Type="http://schemas.openxmlformats.org/officeDocument/2006/relationships/image" Target="media/image3.png" Id="rId5" /><Relationship Type="http://schemas.openxmlformats.org/officeDocument/2006/relationships/image" Target="media/image4.png" Id="rId6" /><Relationship Type="http://schemas.openxmlformats.org/officeDocument/2006/relationships/image" Target="media/image5.png" Id="rId7" /><Relationship Type="http://schemas.openxmlformats.org/officeDocument/2006/relationships/image" Target="media/image6.png" Id="rId8" /><Relationship Type="http://schemas.openxmlformats.org/officeDocument/2006/relationships/image" Target="media/image7.png" Id="rId9" /><Relationship Type="http://schemas.openxmlformats.org/officeDocument/2006/relationships/image" Target="media/image8.png" Id="rId10" /><Relationship Type="http://schemas.openxmlformats.org/officeDocument/2006/relationships/image" Target="media/image9.png" Id="rId11" /><Relationship Type="http://schemas.openxmlformats.org/officeDocument/2006/relationships/image" Target="media/image10.png" Id="rId12" /><Relationship Type="http://schemas.openxmlformats.org/officeDocument/2006/relationships/image" Target="media/image11.png" Id="rId13" /><Relationship Type="http://schemas.openxmlformats.org/officeDocument/2006/relationships/image" Target="media/image12.png" Id="rId14" /><Relationship Type="http://schemas.openxmlformats.org/officeDocument/2006/relationships/footer" Target="footer1.xml" Id="rId18" /><Relationship Type="http://schemas.openxmlformats.org/officeDocument/2006/relationships/footer" Target="footer2.xml" Id="rId19" /><Relationship Type="http://schemas.openxmlformats.org/officeDocument/2006/relationships/footer" Target="footer3.xml" Id="rId20" /><Relationship Type="http://schemas.openxmlformats.org/officeDocument/2006/relationships/numbering" Target="numbering.xml" Id="rId21" /><Relationship Type="http://schemas.openxmlformats.org/officeDocument/2006/relationships/fontTable" Target="fontTable.xml" Id="rId22" /><Relationship Type="http://schemas.openxmlformats.org/officeDocument/2006/relationships/settings" Target="settings.xml" Id="rId23" /><Relationship Type="http://schemas.openxmlformats.org/officeDocument/2006/relationships/theme" Target="theme/theme1.xml" Id="rId24" /><Relationship Type="http://schemas.openxmlformats.org/officeDocument/2006/relationships/hyperlink" Target="https://github.com/marcosviniciusmenezes500-commits/Financas_Publicas_P1_241021847" TargetMode="External" Id="R6a506ccaa1cc46fc" /><Relationship Type="http://schemas.openxmlformats.org/officeDocument/2006/relationships/hyperlink" Target="https://financdash-gh7fehaj.manus.space" TargetMode="External" Id="R36dca0c56c3748ad" /><Relationship Type="http://schemas.openxmlformats.org/officeDocument/2006/relationships/hyperlink" Target="https://github.com/marcosviniciusmenezes500-commits/Financas_Publicas_P1_241021847" TargetMode="External" Id="R4b6bd51781fb4934" /><Relationship Type="http://schemas.openxmlformats.org/officeDocument/2006/relationships/hyperlink" Target="https://siconfi.tesouro.gov.br/" TargetMode="External" Id="Rc6b4392748a142f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2026-05-03T04:35:08.0000000Z</dcterms:created>
  <dc:creator>Marcos Vinicius Menezes Do Nascimento</dc:creator>
  <dc:description/>
  <dc:language>pt-BR</dc:language>
  <lastModifiedBy>Marcos Vinicius Menezes Do Nascimento</lastModifiedBy>
  <dcterms:modified xsi:type="dcterms:W3CDTF">2026-05-08T13:14:48.8735090Z</dcterms:modified>
  <revision>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