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1898954" w:rsidP="085FABFE" w:rsidRDefault="31898954" w14:paraId="1775A481" w14:textId="3EDB0179">
      <w:pPr>
        <w:pStyle w:val="Normal"/>
        <w:suppressLineNumbers w:val="0"/>
        <w:bidi w:val="0"/>
        <w:spacing w:before="0" w:beforeAutospacing="off" w:after="240" w:afterAutospacing="off" w:line="279" w:lineRule="auto"/>
        <w:ind w:left="0" w:right="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tbl>
      <w:tblPr>
        <w:tblStyle w:val="TableGrid"/>
        <w:tblW w:w="0" w:type="auto"/>
        <w:tblBorders>
          <w:top w:val="single" w:color="FFFFFF" w:themeColor="background1" w:sz="12"/>
          <w:left w:val="single" w:color="FFFFFF" w:themeColor="background1" w:sz="12"/>
          <w:bottom w:val="single" w:color="FFFFFF" w:themeColor="background1" w:sz="12"/>
          <w:right w:val="single" w:color="FFFFFF" w:themeColor="background1" w:sz="12"/>
          <w:insideH w:val="single" w:color="FFFFFF" w:themeColor="background1" w:sz="12"/>
          <w:insideV w:val="single" w:color="FFFFFF" w:themeColor="background1" w:sz="12"/>
        </w:tblBorders>
        <w:tblLook w:val="06A0" w:firstRow="1" w:lastRow="0" w:firstColumn="1" w:lastColumn="0" w:noHBand="1" w:noVBand="1"/>
      </w:tblPr>
      <w:tblGrid>
        <w:gridCol w:w="2820"/>
        <w:gridCol w:w="6195"/>
      </w:tblGrid>
      <w:tr w:rsidR="085FABFE" w:rsidTr="085FABFE" w14:paraId="254DC1A9">
        <w:trPr>
          <w:trHeight w:val="300"/>
        </w:trPr>
        <w:tc>
          <w:tcPr>
            <w:tcW w:w="2820" w:type="dxa"/>
            <w:tcMar/>
          </w:tcPr>
          <w:p w:rsidR="75B36D99" w:rsidP="085FABFE" w:rsidRDefault="75B36D99" w14:paraId="33262B61" w14:textId="33469EB2">
            <w:pPr>
              <w:pStyle w:val="Normal"/>
              <w:jc w:val="left"/>
            </w:pPr>
            <w:r w:rsidR="75B36D99">
              <w:drawing>
                <wp:inline wp14:editId="1FB09488" wp14:anchorId="331B9BD2">
                  <wp:extent cx="1657350" cy="828675"/>
                  <wp:effectExtent l="0" t="0" r="0" b="0"/>
                  <wp:docPr id="19216467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21646772" name="Picture 19216467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0745086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657350" cy="8286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95" w:type="dxa"/>
            <w:tcMar/>
            <w:vAlign w:val="top"/>
          </w:tcPr>
          <w:p w:rsidR="75B36D99" w:rsidP="085FABFE" w:rsidRDefault="75B36D99" w14:paraId="41A7CBA0" w14:textId="41833ECA">
            <w:pPr>
              <w:pStyle w:val="Header"/>
              <w:bidi w:val="0"/>
              <w:jc w:val="left"/>
              <w:rPr>
                <w:rFonts w:ascii="Times New Roman" w:hAnsi="Times New Roman" w:eastAsia="Times New Roman" w:cs="Times New Roman"/>
                <w:noProof w:val="0"/>
                <w:lang w:val="pt-BR"/>
              </w:rPr>
            </w:pPr>
            <w:r w:rsidRPr="085FABFE" w:rsidR="75B36D9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lang w:val="pt-BR"/>
              </w:rPr>
              <w:t>Universidade de Brasília – UnB</w:t>
            </w:r>
            <w:r>
              <w:br/>
            </w:r>
            <w:r w:rsidRPr="085FABFE" w:rsidR="75B36D99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 </w:t>
            </w:r>
            <w:r w:rsidRPr="085FABFE" w:rsidR="75B36D9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lang w:val="pt-BR"/>
              </w:rPr>
              <w:t>Faculdade de Economia, Administração, Contabilidade e Gestão de Políticas Públicas</w:t>
            </w:r>
            <w:r>
              <w:br/>
            </w:r>
            <w:r w:rsidRPr="085FABFE" w:rsidR="75B36D99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 </w:t>
            </w:r>
            <w:r w:rsidRPr="085FABFE" w:rsidR="75B36D9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lang w:val="pt-BR"/>
              </w:rPr>
              <w:t>Departamento de Ciências Contábeis e Atuariais</w:t>
            </w:r>
            <w:r>
              <w:br/>
            </w:r>
            <w:r w:rsidRPr="085FABFE" w:rsidR="75B36D99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 </w:t>
            </w:r>
            <w:r w:rsidRPr="085FABFE" w:rsidR="75B36D9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lang w:val="pt-BR"/>
              </w:rPr>
              <w:t>Curso de Ciências Contábeis</w:t>
            </w:r>
          </w:p>
        </w:tc>
      </w:tr>
    </w:tbl>
    <w:p w:rsidR="31898954" w:rsidP="085FABFE" w:rsidRDefault="31898954" w14:paraId="3B2B8E36" w14:textId="6D06C78A">
      <w:pPr>
        <w:pStyle w:val="Normal"/>
        <w:spacing w:before="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61A70ABB" w14:textId="18597D79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pt-BR"/>
        </w:rPr>
      </w:pPr>
      <w:r w:rsidRPr="085FABFE" w:rsidR="6D2B03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2"/>
          <w:szCs w:val="52"/>
          <w:lang w:val="pt-BR"/>
        </w:rPr>
        <w:t>PROVA 1</w:t>
      </w:r>
    </w:p>
    <w:p w:rsidR="31898954" w:rsidP="085FABFE" w:rsidRDefault="31898954" w14:paraId="412CBE12" w14:textId="6E2DED4C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48"/>
          <w:szCs w:val="48"/>
          <w:lang w:val="pt-BR"/>
        </w:rPr>
      </w:pPr>
      <w:r w:rsidRPr="085FABFE" w:rsidR="6D2B03E6">
        <w:rPr>
          <w:rFonts w:ascii="Times New Roman" w:hAnsi="Times New Roman" w:eastAsia="Times New Roman" w:cs="Times New Roman"/>
          <w:noProof w:val="0"/>
          <w:sz w:val="52"/>
          <w:szCs w:val="52"/>
          <w:lang w:val="pt-BR"/>
        </w:rPr>
        <w:t>Finanças do Setor Público</w:t>
      </w:r>
      <w:r>
        <w:br/>
      </w:r>
    </w:p>
    <w:p w:rsidR="31898954" w:rsidP="085FABFE" w:rsidRDefault="31898954" w14:paraId="516D8282" w14:textId="0EF530F9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1BA34322" w14:textId="05783B9A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32F2DFA8" w14:textId="2E0AD5FD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5D684A52" w14:textId="635E0257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7FBFB6BD" w14:textId="27BABFD1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85FABFE" w:rsidR="5DC265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Disciplina:</w:t>
      </w:r>
      <w:r w:rsidRPr="085FABFE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Finanças do Setor Público</w:t>
      </w:r>
      <w:r>
        <w:br/>
      </w:r>
      <w:r w:rsidRPr="085FABFE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085FABFE" w:rsidR="5DC265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Aluno:</w:t>
      </w:r>
      <w:r w:rsidRPr="085FABFE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Marcos Vinicius Menezes do Nascimento</w:t>
      </w:r>
      <w:r>
        <w:br/>
      </w:r>
      <w:r w:rsidRPr="085FABFE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085FABFE" w:rsidR="5DC265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Matrícula:</w:t>
      </w:r>
      <w:r w:rsidRPr="085FABFE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241021847</w:t>
      </w:r>
      <w:r>
        <w:br/>
      </w:r>
    </w:p>
    <w:p w:rsidR="31898954" w:rsidP="085FABFE" w:rsidRDefault="31898954" w14:paraId="42C03E57" w14:textId="6A37E85B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</w:rPr>
      </w:pPr>
      <w:r w:rsidRPr="085FABFE" w:rsidR="2E34EBC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Repositório GitHub:</w:t>
      </w:r>
      <w:r>
        <w:br/>
      </w:r>
      <w:hyperlink r:id="R51c056e6c02943d0">
        <w:r w:rsidRPr="085FABFE" w:rsidR="2E34EBCB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https://github.com/marcosviniciusmenezes500commits/Financas_Publicas_P1_241021847</w:t>
        </w:r>
      </w:hyperlink>
    </w:p>
    <w:p w:rsidR="31898954" w:rsidP="085FABFE" w:rsidRDefault="31898954" w14:paraId="01AB76B5" w14:textId="07672C88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1898954" w:rsidP="085FABFE" w:rsidRDefault="31898954" w14:paraId="59A8243D" w14:textId="6D0B78EF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1898954" w:rsidP="085FABFE" w:rsidRDefault="31898954" w14:paraId="078965A9" w14:textId="18A2D158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1898954" w:rsidP="085FABFE" w:rsidRDefault="31898954" w14:paraId="4CBB4BE6" w14:textId="408BBE4F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1898954" w:rsidP="085FABFE" w:rsidRDefault="31898954" w14:paraId="23B6099D" w14:textId="24030C91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1898954" w:rsidP="085FABFE" w:rsidRDefault="31898954" w14:paraId="256E716E" w14:textId="7F61C3FC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85FABFE" w:rsidR="2E34EBC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Brasília – DF</w:t>
      </w:r>
      <w:r>
        <w:br/>
      </w:r>
      <w:r w:rsidRPr="085FABFE" w:rsidR="2E34EBC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2026</w:t>
      </w:r>
    </w:p>
    <w:p w:rsidR="31898954" w:rsidP="085FABFE" w:rsidRDefault="31898954" w14:paraId="3D15BB0D" w14:textId="59DCAAD3">
      <w:pPr>
        <w:pStyle w:val="Heading4"/>
        <w:jc w:val="left"/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pt-BR"/>
        </w:rPr>
      </w:pPr>
      <w:r w:rsidRPr="085FABFE" w:rsidR="67B35CA7">
        <w:rPr>
          <w:noProof w:val="0"/>
          <w:lang w:val="pt-BR"/>
        </w:rPr>
        <w:t>1) Explique como contabilidade, auditoria, administração e economia se conectam nas finanças públicas dos países e dos entes federativos (nos casos que existem). Inclua indicador real, correlação e análise crítica.</w:t>
      </w:r>
    </w:p>
    <w:p w:rsidR="31898954" w:rsidP="085FABFE" w:rsidRDefault="31898954" w14:paraId="16E5D0D8" w14:textId="28576BDC">
      <w:pPr>
        <w:spacing w:before="0" w:beforeAutospacing="off" w:after="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717AE89D" w14:textId="3C3796AF">
      <w:pPr>
        <w:spacing w:before="0" w:beforeAutospacing="off" w:after="0" w:afterAutospacing="off"/>
        <w:jc w:val="left"/>
      </w:pP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>As finanças públicas constituem um campo interdisciplinar que exige a integração sinérgica de múltiplas áreas do conhecimento para garantir uma gestão eficiente, transparente e sustentável dos recursos da sociedade. A compreensão das conexões entre essas disciplinas é fundamental para o diagnóstico e a formulação de políticas fiscais adequadas.</w:t>
      </w:r>
    </w:p>
    <w:p w:rsidR="31898954" w:rsidP="085FABFE" w:rsidRDefault="31898954" w14:paraId="02439FBE" w14:textId="2A7FB5CF">
      <w:pPr>
        <w:spacing w:before="0" w:beforeAutospacing="off" w:after="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356B6F5D" w14:textId="4079736D">
      <w:pPr>
        <w:pStyle w:val="Normal"/>
      </w:pPr>
      <w:r w:rsidRPr="085FABFE" w:rsidR="40A25261">
        <w:rPr>
          <w:noProof w:val="0"/>
          <w:lang w:val="pt-BR"/>
        </w:rPr>
        <w:t>1.1 Contabilidade Pública como Base Informacional</w:t>
      </w:r>
    </w:p>
    <w:p w:rsidR="31898954" w:rsidP="085FABFE" w:rsidRDefault="31898954" w14:paraId="5122AC99" w14:textId="19D0D5C4">
      <w:pPr>
        <w:spacing w:before="0" w:beforeAutospacing="off" w:after="0" w:afterAutospacing="off"/>
        <w:jc w:val="left"/>
      </w:pP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Contabilidade Pública fornece a infraestrutura de dados necessária para qualquer análise fiscal. Através do </w:t>
      </w: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>Siconfi</w:t>
      </w: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(Sistema de Informações Contábeis e Fiscais do Setor Público Brasileiro), os entes federativos registram suas receitas, despesas, ativos e passivos de forma padronizada. Sem registros contábeis precisos e confiáveis, como aqueles utilizados nesta prova (FINBRA 2014-2023), seria impossível realizar análises comparativas ou identificar tendências.</w:t>
      </w:r>
    </w:p>
    <w:p w:rsidR="31898954" w:rsidP="085FABFE" w:rsidRDefault="31898954" w14:paraId="723E1615" w14:textId="1C2231D9">
      <w:pPr>
        <w:spacing w:before="0" w:beforeAutospacing="off" w:after="0" w:afterAutospacing="off"/>
        <w:jc w:val="left"/>
      </w:pP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>A Contabilidade não se limita ao registro de transações; ela estabelece os princípios de reconhecimento, mensuração e divulgação que permitem que stakeholders (gestores, cidadãos, investidores) compreendam a situação financeira de um ente público.</w:t>
      </w:r>
    </w:p>
    <w:p w:rsidR="31898954" w:rsidP="085FABFE" w:rsidRDefault="31898954" w14:paraId="7B6F619D" w14:textId="50B62FD7">
      <w:pPr>
        <w:spacing w:before="0" w:beforeAutospacing="off" w:after="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1F8C4035" w14:textId="0A7339E4">
      <w:pPr>
        <w:pStyle w:val="Normal"/>
      </w:pPr>
      <w:r w:rsidRPr="085FABFE" w:rsidR="40A25261">
        <w:rPr>
          <w:noProof w:val="0"/>
          <w:lang w:val="pt-BR"/>
        </w:rPr>
        <w:t>1.2 Auditoria como Mecanismo de Controle e Legitimidade</w:t>
      </w:r>
    </w:p>
    <w:p w:rsidR="31898954" w:rsidP="085FABFE" w:rsidRDefault="31898954" w14:paraId="56180E94" w14:textId="6076396C">
      <w:pPr>
        <w:spacing w:before="0" w:beforeAutospacing="off" w:after="0" w:afterAutospacing="off"/>
        <w:jc w:val="left"/>
      </w:pP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Auditoria Governamental atua na verificação da legalidade, legitimidade e economicidade dos registros contábeis. Conforme estabelecido pelo Instituto </w:t>
      </w: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>Serzedello</w:t>
      </w: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Corrêa (ISC/TCU), a auditoria não se restringe ao cumprimento de normas; ela valida se o gasto público cumpre sua finalidade social e se os recursos foram utilizados de forma eficiente.</w:t>
      </w:r>
    </w:p>
    <w:p w:rsidR="31898954" w:rsidP="085FABFE" w:rsidRDefault="31898954" w14:paraId="65CD722A" w14:textId="49E52C2A">
      <w:pPr>
        <w:spacing w:before="0" w:beforeAutospacing="off" w:after="0" w:afterAutospacing="off"/>
        <w:jc w:val="left"/>
      </w:pP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>No contexto desta prova, a confiabilidade dos dados de receita e despesa dos municípios de Betim e Governador Valadares depende de processos de auditoria que garantem que as informações foram coletadas e processadas corretamente. A auditoria também fornece recomendações para melhorias na gestão fiscal.</w:t>
      </w:r>
    </w:p>
    <w:p w:rsidR="31898954" w:rsidP="085FABFE" w:rsidRDefault="31898954" w14:paraId="3F351CE8" w14:textId="5FFEBD6F">
      <w:pPr>
        <w:spacing w:before="0" w:beforeAutospacing="off" w:after="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25710522" w14:textId="5D509847">
      <w:pPr>
        <w:pStyle w:val="Normal"/>
      </w:pPr>
      <w:r w:rsidRPr="085FABFE" w:rsidR="40A25261">
        <w:rPr>
          <w:noProof w:val="0"/>
          <w:lang w:val="pt-BR"/>
        </w:rPr>
        <w:t>1.3 Administração Pública como Executor de Políticas</w:t>
      </w:r>
    </w:p>
    <w:p w:rsidR="31898954" w:rsidP="085FABFE" w:rsidRDefault="31898954" w14:paraId="0B5E7817" w14:textId="3DF3B5A7">
      <w:pPr>
        <w:spacing w:before="0" w:beforeAutospacing="off" w:after="0" w:afterAutospacing="off"/>
        <w:jc w:val="left"/>
      </w:pP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>A Administração Pública fornece o arcabouço organizacional e processual para a execução das políticas fiscais. Ela define como os recursos serão alocados entre funções (Saúde, Educação, Segurança), como os processos de arrecadação serão conduzidos e como a despesa será realizada.</w:t>
      </w:r>
    </w:p>
    <w:p w:rsidR="31898954" w:rsidP="085FABFE" w:rsidRDefault="31898954" w14:paraId="1F86E385" w14:textId="145F2E29">
      <w:pPr>
        <w:spacing w:before="0" w:beforeAutospacing="off" w:after="0" w:afterAutospacing="off"/>
        <w:jc w:val="left"/>
      </w:pP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>A qualidade da gestão administrativa influencia diretamente a eficiência do gasto público. Por exemplo, a correlação negativa entre Gasto em Educação e IDEB em Betim (Questão 5) pode indicar não apenas insuficiência de recursos, mas também ineficiências administrativas na alocação ou execução do gasto.</w:t>
      </w:r>
    </w:p>
    <w:p w:rsidR="31898954" w:rsidP="085FABFE" w:rsidRDefault="31898954" w14:paraId="6256884F" w14:textId="310FBAAE">
      <w:pPr>
        <w:spacing w:before="0" w:beforeAutospacing="off" w:after="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52D3FD9D" w14:textId="6AE5C106">
      <w:pPr>
        <w:pStyle w:val="Normal"/>
      </w:pPr>
      <w:r w:rsidRPr="085FABFE" w:rsidR="40A25261">
        <w:rPr>
          <w:noProof w:val="0"/>
          <w:lang w:val="pt-BR"/>
        </w:rPr>
        <w:t>1.4 Economia do Setor Público como Referencial Teórico</w:t>
      </w:r>
    </w:p>
    <w:p w:rsidR="31898954" w:rsidP="085FABFE" w:rsidRDefault="31898954" w14:paraId="1856DD88" w14:textId="2A683CB4">
      <w:pPr>
        <w:spacing w:before="0" w:beforeAutospacing="off" w:after="0" w:afterAutospacing="off"/>
        <w:jc w:val="left"/>
      </w:pP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>A Economia do Setor Público fornece o referencial teórico para justificar a intervenção estatal e medir sua eficácia. Ela responde perguntas fundamentais: Por que o Estado deve intervir em educação? Qual é o nível ótimo de tributação? Como a receita fiscal se relaciona com o desempenho econômico?</w:t>
      </w:r>
    </w:p>
    <w:p w:rsidR="31898954" w:rsidP="085FABFE" w:rsidRDefault="31898954" w14:paraId="31ACEE24" w14:textId="5B4E1D1A">
      <w:pPr>
        <w:spacing w:before="0" w:beforeAutospacing="off" w:after="0" w:afterAutospacing="off"/>
        <w:jc w:val="left"/>
      </w:pPr>
      <w:r w:rsidRPr="085FABFE" w:rsidR="40A25261">
        <w:rPr>
          <w:rFonts w:ascii="Aptos" w:hAnsi="Aptos" w:eastAsia="Aptos" w:cs="Aptos"/>
          <w:noProof w:val="0"/>
          <w:sz w:val="24"/>
          <w:szCs w:val="24"/>
          <w:lang w:val="pt-BR"/>
        </w:rPr>
        <w:t>As análises econométricas realizadas nesta prova (correlações, regressões, Curva de Laffer) são instrumentos da Economia do Setor Público que permitem quantificar essas relações e informar decisões de política pública</w:t>
      </w:r>
    </w:p>
    <w:p w:rsidR="31898954" w:rsidP="085FABFE" w:rsidRDefault="31898954" w14:paraId="23023F7F" w14:textId="3B7E8A48">
      <w:pPr>
        <w:pStyle w:val="Heading4"/>
        <w:tabs>
          <w:tab w:val="num" w:leader="none" w:pos="720"/>
        </w:tabs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85FABFE" w:rsidR="3D485376">
        <w:rPr>
          <w:noProof w:val="0"/>
          <w:lang w:val="pt-BR"/>
        </w:rPr>
        <w:t>2) A partir do país atribuído, descreva e analise com base nos conceitos de (i) forma de Estado; (ii) forma de governo; (iii) regime de governo; (iv) sistema de governo; e em seguida, explique como essas características influenciam o financiamento e a gestão das políticas públicas do país. (10 anos, gráfico e análise). Inclua pelo menos um indicador empírico que evidencie esse impacto.</w:t>
      </w:r>
    </w:p>
    <w:p w:rsidR="31898954" w:rsidP="085FABFE" w:rsidRDefault="31898954" w14:paraId="59305F44" w14:textId="533EDF14">
      <w:pPr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5968FB04" w14:textId="718FB6C4">
      <w:pPr>
        <w:spacing w:before="240" w:beforeAutospacing="off" w:after="240" w:afterAutospacing="off"/>
        <w:jc w:val="left"/>
      </w:pP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Estrutura Político-Institucional e Financiamento Público na Indonésia</w:t>
      </w:r>
    </w:p>
    <w:p w:rsidR="31898954" w:rsidP="085FABFE" w:rsidRDefault="31898954" w14:paraId="4EF6D3F0" w14:textId="4CAB2D87">
      <w:pPr>
        <w:spacing w:before="240" w:beforeAutospacing="off" w:after="240" w:afterAutospacing="off"/>
        <w:jc w:val="left"/>
      </w:pP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>A arquitetura do financiamento e da gestão das políticas públicas na Indonésia é diretamente moldada por suas quatro características institucionais básicas:</w:t>
      </w:r>
    </w:p>
    <w:p w:rsidR="31898954" w:rsidP="085FABFE" w:rsidRDefault="31898954" w14:paraId="7EF8C0CE" w14:textId="66BEDE95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Forma de Estado (Estado Unitário):</w:t>
      </w: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A Indonésia é um Estado Unitário arquipelágico. Isso significa que o poder legal e tributário primário está fortemente concentrado no governo central. A arrecadação não é fragmentada em entes subnacionais soberanos como numa federação, fazendo com que o "Governo Geral" concentre a enorme responsabilidade de financiar a nação.</w:t>
      </w:r>
    </w:p>
    <w:p w:rsidR="31898954" w:rsidP="085FABFE" w:rsidRDefault="31898954" w14:paraId="5ABB9051" w14:textId="1C1EBF28">
      <w:pPr>
        <w:pStyle w:val="Normal"/>
        <w:spacing w:before="240" w:beforeAutospacing="off" w:after="240" w:afterAutospacing="off"/>
        <w:ind w:left="72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53BEF19D" w14:textId="17EE4CF8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Forma de Governo (República):</w:t>
      </w: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Sendo uma República, o Estado atua como o instrumento maior da sociedade civil politicamente organizada, gerido com vistas à autonomia, segurança e desenvolvimento econômico nacional (Bresser-Pereira, 2017).</w:t>
      </w:r>
    </w:p>
    <w:p w:rsidR="31898954" w:rsidP="085FABFE" w:rsidRDefault="31898954" w14:paraId="394EBCEF" w14:textId="157E6469">
      <w:pPr>
        <w:pStyle w:val="Normal"/>
        <w:spacing w:before="240" w:beforeAutospacing="off" w:after="240" w:afterAutospacing="off"/>
        <w:ind w:left="72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18E93020" w14:textId="4A55EA1E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Regime de Governo (Democrático):</w:t>
      </w: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O país consolidou seu regime democrático no final dos anos 1990. A legitimidade do poder passou a derivar de eleições, obrigando o Estado a responder às crescentes demandas da sociedade civil por saúde, educação e infraestrutura, pressionando a execução da despesa pública.</w:t>
      </w:r>
    </w:p>
    <w:p w:rsidR="31898954" w:rsidP="085FABFE" w:rsidRDefault="31898954" w14:paraId="766805CC" w14:textId="2CB746AC">
      <w:pPr>
        <w:pStyle w:val="Normal"/>
        <w:spacing w:before="240" w:beforeAutospacing="off" w:after="240" w:afterAutospacing="off"/>
        <w:ind w:left="72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0F139091" w14:textId="3A424A0E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Sistema de Governo (Presidencialismo):</w:t>
      </w: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O chefe de Estado e de Governo é o Presidente da República, que concentra a responsabilidade de formular a agenda orçamentária para integrar mais de 17 mil ilhas, negociando a aprovação das despesas com o legislativo.</w:t>
      </w:r>
    </w:p>
    <w:p w:rsidR="31898954" w:rsidP="085FABFE" w:rsidRDefault="31898954" w14:paraId="0F794984" w14:textId="339C1E38">
      <w:pPr>
        <w:pStyle w:val="ListParagraph"/>
        <w:spacing w:before="240" w:beforeAutospacing="off" w:after="240" w:afterAutospacing="off"/>
        <w:ind w:left="72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3CB749E7" w14:textId="534111FF">
      <w:pPr>
        <w:spacing w:before="240" w:beforeAutospacing="off" w:after="240" w:afterAutospacing="off"/>
        <w:jc w:val="left"/>
      </w:pP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Indicador Empírico, Gráfico e Análise Crítica</w:t>
      </w:r>
    </w:p>
    <w:p w:rsidR="31898954" w:rsidP="085FABFE" w:rsidRDefault="31898954" w14:paraId="66D29132" w14:textId="0D2185EA">
      <w:pPr>
        <w:spacing w:before="0" w:beforeAutospacing="off" w:after="0" w:afterAutospacing="off"/>
        <w:jc w:val="left"/>
        <w:rPr>
          <w:u w:val="single"/>
        </w:rPr>
      </w:pPr>
      <w:r w:rsidR="3E8D13B9">
        <w:drawing>
          <wp:inline wp14:editId="465DFC32" wp14:anchorId="6945F938">
            <wp:extent cx="5243425" cy="3240000"/>
            <wp:effectExtent l="0" t="0" r="0" b="0"/>
            <wp:docPr id="8555504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5550482" name="Picture 855550482"/>
                    <pic:cNvPicPr/>
                  </pic:nvPicPr>
                  <pic:blipFill>
                    <a:blip xmlns:r="http://schemas.openxmlformats.org/officeDocument/2006/relationships" r:embed="rId10302055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43425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17CED08C" w14:textId="3A0A6D15">
      <w:pPr>
        <w:pStyle w:val="Normal"/>
        <w:spacing w:before="240" w:beforeAutospacing="off" w:after="240" w:afterAutospacing="off"/>
        <w:jc w:val="left"/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</w:pPr>
      <w:r w:rsidRPr="085FABFE" w:rsidR="719085BB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>Valores deflacionados pelo CPI (Indonésia). Fontes: Ministério das Finanças da Indonésia / Banco Mundial</w:t>
      </w:r>
    </w:p>
    <w:p w:rsidR="31898954" w:rsidP="085FABFE" w:rsidRDefault="31898954" w14:paraId="6B953B16" w14:textId="08498D7E">
      <w:pPr>
        <w:spacing w:before="240" w:beforeAutospacing="off" w:after="240" w:afterAutospacing="off"/>
        <w:jc w:val="left"/>
      </w:pP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analisar o impacto dessa estrutura política no financiamento das políticas públicas, foi selecionado o indicador de </w:t>
      </w: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Receita e Despesa do Governo Geral</w:t>
      </w: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>, com a série histórica de 10 anos deflacionada.</w:t>
      </w:r>
    </w:p>
    <w:p w:rsidR="31898954" w:rsidP="085FABFE" w:rsidRDefault="31898954" w14:paraId="1EAAF30D" w14:textId="01F2CFBC">
      <w:pPr>
        <w:spacing w:before="240" w:beforeAutospacing="off" w:after="240" w:afterAutospacing="off"/>
        <w:jc w:val="left"/>
      </w:pP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análise crítica do gráfico evidencia o peso do modelo político sobre a saúde fiscal do país. Observa-se que, devido à forma de </w:t>
      </w: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Estado Unitário</w:t>
      </w: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, os valores absolutos geridos pelo Governo Geral são colossais, pois ele é a principal âncora de financiamento de todas as ilhas. Ao mesmo tempo, a linha de </w:t>
      </w: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Despesa</w:t>
      </w: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pressionando ou superando a linha de </w:t>
      </w: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Receita</w:t>
      </w: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ilustra o custo de manutenção do </w:t>
      </w:r>
      <w:r w:rsidRPr="085FABFE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Regime Democrático</w:t>
      </w: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>. Em uma democracia republicana, o Estado é constantemente cobrado pela sociedade civil para entregar políticas públicas corretivas e de bem-estar.</w:t>
      </w:r>
    </w:p>
    <w:p w:rsidR="31898954" w:rsidP="085FABFE" w:rsidRDefault="31898954" w14:paraId="00B6F653" w14:textId="7C0F0A6A">
      <w:pPr>
        <w:spacing w:before="240" w:beforeAutospacing="off" w:after="240" w:afterAutospacing="off"/>
        <w:jc w:val="left"/>
      </w:pPr>
      <w:r w:rsidRPr="085FABFE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>Para sustentar a legitimidade presidencial perante a nação, o governo indonésio precisa manter um alto nível de gasto público (execução de políticas), mesmo em momentos de estagnação da receita. Isso corrobora a tese de Bresser-Pereira de que o Estado Moderno, ao assumir o papel de indutor do desenvolvimento econômico e social em regimes democráticos, enfrenta o desafio constante de alinhar a sua capacidade arrecadatória com a infinita demanda social, refletindo diretamente no comportamento das despesas do Governo Geral.</w:t>
      </w:r>
    </w:p>
    <w:p w:rsidR="31898954" w:rsidP="085FABFE" w:rsidRDefault="31898954" w14:paraId="20D1C6E4" w14:textId="5D2322C6">
      <w:pPr>
        <w:pStyle w:val="Normal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5515CF3D" w14:textId="3C65FD39">
      <w:pPr>
        <w:pStyle w:val="Heading4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85FABFE" w:rsidR="3D485376">
        <w:rPr>
          <w:noProof w:val="0"/>
          <w:lang w:val="pt-BR"/>
        </w:rPr>
        <w:t>3) Analise a composição da receita municipal com gráfico e evolução temporal.</w:t>
      </w:r>
    </w:p>
    <w:p w:rsidR="31898954" w:rsidP="085FABFE" w:rsidRDefault="31898954" w14:paraId="2C596A85" w14:textId="54EE1D88">
      <w:pPr>
        <w:spacing w:before="240" w:beforeAutospacing="off" w:after="240" w:afterAutospacing="off"/>
        <w:jc w:val="left"/>
      </w:pPr>
      <w:r w:rsidRPr="085FABFE" w:rsidR="291FE1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Composição e Evolução das Receitas (Betim e Governador Valadares)</w:t>
      </w:r>
    </w:p>
    <w:p w:rsidR="31898954" w:rsidP="085FABFE" w:rsidRDefault="31898954" w14:paraId="1CEA2802" w14:textId="4D9BA02E">
      <w:pPr>
        <w:spacing w:before="0" w:beforeAutospacing="off" w:after="0" w:afterAutospacing="off"/>
        <w:jc w:val="left"/>
      </w:pPr>
      <w:r w:rsidR="4E3599D5">
        <w:drawing>
          <wp:inline wp14:editId="6F6B2F95" wp14:anchorId="065C305A">
            <wp:extent cx="4680000" cy="2952417"/>
            <wp:effectExtent l="0" t="0" r="0" b="0"/>
            <wp:docPr id="2390967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9096784" name="Picture 239096784"/>
                    <pic:cNvPicPr/>
                  </pic:nvPicPr>
                  <pic:blipFill>
                    <a:blip xmlns:r="http://schemas.openxmlformats.org/officeDocument/2006/relationships" r:embed="rId18746286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0000" cy="295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08E53041" w14:textId="1A30F797">
      <w:pPr>
        <w:spacing w:before="0" w:beforeAutospacing="off" w:after="0" w:afterAutospacing="off"/>
        <w:jc w:val="left"/>
      </w:pPr>
      <w:r w:rsidR="4E3599D5">
        <w:drawing>
          <wp:inline wp14:editId="5212C352" wp14:anchorId="3A5759BC">
            <wp:extent cx="4680000" cy="2815761"/>
            <wp:effectExtent l="0" t="0" r="0" b="0"/>
            <wp:docPr id="7297352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9735263" name="Picture 729735263"/>
                    <pic:cNvPicPr/>
                  </pic:nvPicPr>
                  <pic:blipFill>
                    <a:blip xmlns:r="http://schemas.openxmlformats.org/officeDocument/2006/relationships" r:embed="rId13638664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0000" cy="2815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7B0C469A" w14:textId="3BB36DC8">
      <w:pPr>
        <w:pStyle w:val="Normal"/>
        <w:spacing w:before="0" w:beforeAutospacing="off" w:after="0" w:afterAutospacing="off"/>
        <w:jc w:val="left"/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</w:pPr>
      <w:r w:rsidRPr="085FABFE" w:rsidR="382E8272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>Valores deflacionados pelo IPCA. Fonte: Siconfi/STN</w:t>
      </w:r>
    </w:p>
    <w:p w:rsidR="31898954" w:rsidP="085FABFE" w:rsidRDefault="31898954" w14:paraId="5B74D3BF" w14:textId="191CFDE9">
      <w:pPr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</w:p>
    <w:p w:rsidR="31898954" w:rsidP="085FABFE" w:rsidRDefault="31898954" w14:paraId="7D85D752" w14:textId="0DD124DE">
      <w:pPr>
        <w:spacing w:before="240" w:beforeAutospacing="off" w:after="240" w:afterAutospacing="off"/>
        <w:jc w:val="left"/>
      </w:pPr>
      <w:r w:rsidRPr="085FABFE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>A análise da evolução temporal da composição das receitas de Betim e Governador Valadares, em valores reais deflacionados pelo IPCA (2014-2023), ilustra de forma empírica a dinâmica do federalismo fiscal brasileiro na esfera local.</w:t>
      </w:r>
    </w:p>
    <w:p w:rsidR="31898954" w:rsidP="085FABFE" w:rsidRDefault="31898954" w14:paraId="1BF0FDFF" w14:textId="09E3E1F8">
      <w:pPr>
        <w:spacing w:before="240" w:beforeAutospacing="off" w:after="240" w:afterAutospacing="off"/>
        <w:jc w:val="left"/>
      </w:pPr>
      <w:r w:rsidRPr="085FABFE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observação dos gráficos evidencia uma assimetria estrutural na autonomia financeira dos dois municípios. Governador Valadares apresenta uma dependência substancial das </w:t>
      </w:r>
      <w:r w:rsidRPr="085FABFE" w:rsidR="291FE1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Transferências Correntes</w:t>
      </w:r>
      <w:r w:rsidRPr="085FABFE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(nomeadamente o FPM e as quotas-partes do ICMS e IPVA), que representam a esmagadora maioria do seu financiamento. Por outro lado, Betim, devido ao seu denso parque industrial e maior vitalidade económica, consegue manter uma proporção significativamente mais robusta de </w:t>
      </w:r>
      <w:r w:rsidRPr="085FABFE" w:rsidR="291FE1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Receitas Tributárias próprias</w:t>
      </w:r>
      <w:r w:rsidRPr="085FABFE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(como o ISS e o IPTU).</w:t>
      </w:r>
    </w:p>
    <w:p w:rsidR="31898954" w:rsidP="085FABFE" w:rsidRDefault="31898954" w14:paraId="0647C40B" w14:textId="6FFC5B7E">
      <w:pPr>
        <w:spacing w:before="240" w:beforeAutospacing="off" w:after="240" w:afterAutospacing="off"/>
        <w:jc w:val="left"/>
      </w:pPr>
      <w:r w:rsidRPr="085FABFE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Do ponto de vista teórico, o modelo de financiamento verificado em Valadares acentua o fenómeno da "ilusão fiscal" (Biderman &amp; Arvate, 2004). Quando a maior parte dos recursos executados pelo município não é arrecadada localmente, o cidadão tem maior dificuldade em associar o custo do imposto ao benefício do serviço público prestado, o que enfraquece a </w:t>
      </w:r>
      <w:r w:rsidRPr="085FABFE" w:rsidR="291FE156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085FABFE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local.</w:t>
      </w:r>
    </w:p>
    <w:p w:rsidR="31898954" w:rsidP="085FABFE" w:rsidRDefault="31898954" w14:paraId="3489B9C2" w14:textId="3E0635FF">
      <w:pPr>
        <w:spacing w:before="240" w:beforeAutospacing="off" w:after="240" w:afterAutospacing="off"/>
        <w:jc w:val="left"/>
      </w:pPr>
      <w:r w:rsidRPr="085FABFE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>Para a Administração Pública Gerencial (Bresser-Pereira, 2017), esta dependência crónica de repasses impõe um desafio constante aos gestores de municípios como Valadares: a necessidade de garantir a provisão universal de serviços (saúde e educação) fica refém das oscilações macroeconómicas nacionais e estaduais, limitando a capacidade de planeamento de longo prazo. Em contraste, a maior arrecadação própria de Betim confere-lhe uma margem de manobra fiscal mais resiliente face aos choques nos repasses federais e estaduais.</w:t>
      </w:r>
    </w:p>
    <w:p w:rsidR="31898954" w:rsidP="085FABFE" w:rsidRDefault="31898954" w14:paraId="418502B2" w14:textId="304A8782">
      <w:pPr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070F46DD" w14:textId="5C568BCD">
      <w:pPr>
        <w:pStyle w:val="Heading4"/>
        <w:jc w:val="left"/>
      </w:pPr>
      <w:r w:rsidRPr="085FABFE" w:rsidR="3D485376">
        <w:rPr>
          <w:noProof w:val="0"/>
          <w:lang w:val="pt-BR"/>
        </w:rPr>
        <w:t>4) Analise evolução conjunta das receitas e despesas (10 anos, valores reais, gráfico e análise crítica).</w:t>
      </w:r>
    </w:p>
    <w:p w:rsidR="31898954" w:rsidP="085FABFE" w:rsidRDefault="31898954" w14:paraId="7A1126CD" w14:textId="09D0C4F5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085FABFE" w:rsidR="413FB876">
        <w:rPr>
          <w:rFonts w:ascii="Aptos" w:hAnsi="Aptos" w:eastAsia="Aptos" w:cs="Aptos" w:asciiTheme="minorAscii" w:hAnsiTheme="minorAscii" w:eastAsiaTheme="minorAscii" w:cstheme="minorBidi"/>
          <w:b w:val="1"/>
          <w:bCs w:val="1"/>
          <w:noProof w:val="0"/>
          <w:color w:val="auto"/>
          <w:sz w:val="24"/>
          <w:szCs w:val="24"/>
          <w:lang w:val="pt-BR" w:eastAsia="en-US" w:bidi="ar-SA"/>
        </w:rPr>
        <w:t xml:space="preserve">Saúde Fiscal e Evolução (Receita x </w:t>
      </w:r>
      <w:r w:rsidRPr="085FABFE" w:rsidR="413FB876">
        <w:rPr>
          <w:rFonts w:ascii="Aptos" w:hAnsi="Aptos" w:eastAsia="Aptos" w:cs="Aptos" w:asciiTheme="minorAscii" w:hAnsiTheme="minorAscii" w:eastAsiaTheme="minorAscii" w:cstheme="minorBidi"/>
          <w:b w:val="1"/>
          <w:bCs w:val="1"/>
          <w:noProof w:val="0"/>
          <w:color w:val="auto"/>
          <w:sz w:val="24"/>
          <w:szCs w:val="24"/>
          <w:lang w:val="pt-BR" w:eastAsia="en-US" w:bidi="ar-SA"/>
        </w:rPr>
        <w:t>Despesa</w:t>
      </w:r>
      <w:r w:rsidRPr="085FABFE" w:rsidR="413FB876">
        <w:rPr>
          <w:rFonts w:ascii="Aptos" w:hAnsi="Aptos" w:eastAsia="Aptos" w:cs="Aptos" w:asciiTheme="minorAscii" w:hAnsiTheme="minorAscii" w:eastAsiaTheme="minorAscii" w:cstheme="minorBidi"/>
          <w:b w:val="1"/>
          <w:bCs w:val="1"/>
          <w:noProof w:val="0"/>
          <w:color w:val="auto"/>
          <w:sz w:val="24"/>
          <w:szCs w:val="24"/>
          <w:lang w:val="pt-BR" w:eastAsia="en-US" w:bidi="ar-SA"/>
        </w:rPr>
        <w:t>)</w:t>
      </w:r>
    </w:p>
    <w:p w:rsidR="31898954" w:rsidP="085FABFE" w:rsidRDefault="31898954" w14:paraId="24095266" w14:textId="7D2A0ACB">
      <w:pPr>
        <w:spacing w:before="0" w:beforeAutospacing="off" w:after="0" w:afterAutospacing="off"/>
        <w:jc w:val="left"/>
      </w:pPr>
      <w:r w:rsidR="413FB876">
        <w:drawing>
          <wp:inline wp14:editId="13620F62" wp14:anchorId="60CE3750">
            <wp:extent cx="4733925" cy="2943225"/>
            <wp:effectExtent l="0" t="0" r="0" b="0"/>
            <wp:docPr id="9190831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9083194" name="Picture 919083194"/>
                    <pic:cNvPicPr/>
                  </pic:nvPicPr>
                  <pic:blipFill>
                    <a:blip xmlns:r="http://schemas.openxmlformats.org/officeDocument/2006/relationships" r:embed="rId6235772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075A6573" w14:textId="36F246A8">
      <w:pPr>
        <w:spacing w:before="0" w:beforeAutospacing="off" w:after="0" w:afterAutospacing="off"/>
        <w:jc w:val="left"/>
      </w:pPr>
      <w:r w:rsidR="413FB876">
        <w:drawing>
          <wp:inline wp14:editId="76BF89FA" wp14:anchorId="72A78AB6">
            <wp:extent cx="4892067" cy="2943360"/>
            <wp:effectExtent l="0" t="0" r="0" b="0"/>
            <wp:docPr id="1240413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041309" name="Picture 124041309"/>
                    <pic:cNvPicPr/>
                  </pic:nvPicPr>
                  <pic:blipFill>
                    <a:blip xmlns:r="http://schemas.openxmlformats.org/officeDocument/2006/relationships" r:embed="rId375191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92067" cy="294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76F8DB08" w14:textId="5A722DFE">
      <w:pPr>
        <w:pStyle w:val="Normal"/>
        <w:spacing w:before="0" w:beforeAutospacing="off" w:after="0" w:afterAutospacing="off"/>
        <w:jc w:val="left"/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</w:pPr>
      <w:r w:rsidRPr="085FABFE" w:rsidR="413FB876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 xml:space="preserve">Valores deflacionados pelo IPCA. Fonte: </w:t>
      </w:r>
      <w:r w:rsidRPr="085FABFE" w:rsidR="413FB876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>Siconfi</w:t>
      </w:r>
      <w:r w:rsidRPr="085FABFE" w:rsidR="413FB876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>/STN</w:t>
      </w:r>
    </w:p>
    <w:p w:rsidR="31898954" w:rsidP="085FABFE" w:rsidRDefault="31898954" w14:paraId="5CAC1DC8" w14:textId="04BC4021">
      <w:pPr>
        <w:spacing w:before="240" w:beforeAutospacing="off" w:after="240" w:afterAutospacing="off"/>
        <w:jc w:val="left"/>
      </w:pPr>
      <w:r w:rsidRPr="085FABFE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>A avaliação conjunta da evolução real das Receitas Totais e Despesas Totais (2014-2023) permite diagnosticar a saúde fiscal dos municípios de Betim e Governador Valadares sob a ótica da Lei de Responsabilidade Fiscal (LRF) e dos princípios da Administração Pública Gerencial.</w:t>
      </w:r>
    </w:p>
    <w:p w:rsidR="31898954" w:rsidP="085FABFE" w:rsidRDefault="31898954" w14:paraId="1C20FFFA" w14:textId="64A9A06D">
      <w:pPr>
        <w:spacing w:before="240" w:beforeAutospacing="off" w:after="240" w:afterAutospacing="off"/>
        <w:jc w:val="left"/>
      </w:pPr>
      <w:r w:rsidRPr="085FABFE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>A observação das curvas demonstra, em ambos os municípios, uma forte aderência da despesa empenhada à receita arrecadada. Na maior parte da série histórica, as linhas "caminham juntas". Este comportamento evidencia o esforço contabilístico e gerencial para evitar défices primários consistentes, atestando a eficácia dos mecanismos de controlo e auditoria consolidados no Brasil a partir da LRF (Giambiagi &amp; Além, 2011). O modelo burocrático de controlo obriga o gestor a contingenciar o gasto sempre que a arrecadação frustra as expectativas.</w:t>
      </w:r>
    </w:p>
    <w:p w:rsidR="31898954" w:rsidP="085FABFE" w:rsidRDefault="31898954" w14:paraId="690D2A67" w14:textId="07D6E20D">
      <w:pPr>
        <w:spacing w:before="240" w:beforeAutospacing="off" w:after="240" w:afterAutospacing="off"/>
        <w:jc w:val="left"/>
      </w:pPr>
      <w:r w:rsidRPr="085FABFE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>Contudo, uma análise crítica mais aprofundada exige ir além do mero equilíbrio aritmético. Esta alta correlação impõe uma severa pró-ciclicidade aos municípios: em anos de retração económica nacional (visualizada nas depressões das curvas de receita), as autarquias são forçadas a cortar gastos.</w:t>
      </w:r>
    </w:p>
    <w:p w:rsidR="31898954" w:rsidP="085FABFE" w:rsidRDefault="31898954" w14:paraId="3AD2B4D0" w14:textId="7409C845">
      <w:pPr>
        <w:spacing w:before="240" w:beforeAutospacing="off" w:after="240" w:afterAutospacing="off"/>
        <w:jc w:val="left"/>
      </w:pPr>
      <w:r w:rsidRPr="085FABFE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Como a esmagadora maioria do orçamento municipal está engessada por despesas correntes obrigatórias (folha de pagamentos, manutenção da máquina e vinculações constitucionais em saúde e educação), o ajuste recai inevitavelmente sobre a rubrica de investimentos em infraestruturas (Biderman &amp; Arvate, 2004). Desta forma, conclui-se que a "saúde fiscal" aparente – atestada pelo equilíbrio numérico nas curvas – </w:t>
      </w:r>
      <w:r w:rsidRPr="085FABFE" w:rsidR="026F1578">
        <w:rPr>
          <w:rFonts w:ascii="Aptos" w:hAnsi="Aptos" w:eastAsia="Aptos" w:cs="Aptos"/>
          <w:noProof w:val="0"/>
          <w:sz w:val="24"/>
          <w:szCs w:val="24"/>
          <w:lang w:val="pt-BR"/>
        </w:rPr>
        <w:t>máscara</w:t>
      </w:r>
      <w:r w:rsidRPr="085FABFE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frequentemente uma estagnação na capacidade real do Estado local em atuar como promotor do desenvolvimento, falhando no objetivo central da Administração Gerencial que é a entrega contínua de valor público e eficiência ao cidadão (Bresser-Pereira, 2017).</w:t>
      </w:r>
    </w:p>
    <w:p w:rsidR="31898954" w:rsidP="085FABFE" w:rsidRDefault="31898954" w14:paraId="5BE0F4C8" w14:textId="3263931C">
      <w:pPr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29F32784" w14:textId="089AF26B">
      <w:pPr>
        <w:pStyle w:val="Heading4"/>
        <w:jc w:val="left"/>
      </w:pPr>
      <w:r w:rsidRPr="085FABFE" w:rsidR="3D485376">
        <w:rPr>
          <w:noProof w:val="0"/>
          <w:lang w:val="pt-BR"/>
        </w:rPr>
        <w:t>5) Relacione gasto público com indicador de resultado (educação ou saúde) usando correlação/regressão.</w:t>
      </w:r>
    </w:p>
    <w:p w:rsidR="31898954" w:rsidP="085FABFE" w:rsidRDefault="31898954" w14:paraId="56FAD64F" w14:textId="46E9F90C">
      <w:pPr>
        <w:spacing w:before="0" w:beforeAutospacing="off" w:after="240" w:afterAutospacing="off"/>
        <w:jc w:val="left"/>
      </w:pPr>
      <w:r w:rsidRPr="085FABFE" w:rsidR="32365FA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Correlação/Regressão entre Gasto Público e Resultados Sociais</w:t>
      </w:r>
    </w:p>
    <w:p w:rsidR="31898954" w:rsidP="085FABFE" w:rsidRDefault="31898954" w14:paraId="3668DA7F" w14:textId="25772417">
      <w:pPr>
        <w:spacing w:before="0" w:beforeAutospacing="off" w:after="0" w:afterAutospacing="off"/>
        <w:jc w:val="left"/>
      </w:pPr>
    </w:p>
    <w:p w:rsidR="31898954" w:rsidP="085FABFE" w:rsidRDefault="31898954" w14:paraId="28AC2755" w14:textId="1F756809">
      <w:pPr>
        <w:spacing w:before="0" w:beforeAutospacing="off" w:after="0" w:afterAutospacing="off"/>
        <w:jc w:val="left"/>
      </w:pPr>
      <w:r w:rsidR="186112A5">
        <w:drawing>
          <wp:inline wp14:editId="784595C2" wp14:anchorId="75559B00">
            <wp:extent cx="4591050" cy="2762250"/>
            <wp:effectExtent l="0" t="0" r="0" b="0"/>
            <wp:docPr id="15439463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3946386" name="Picture 1543946386"/>
                    <pic:cNvPicPr/>
                  </pic:nvPicPr>
                  <pic:blipFill>
                    <a:blip xmlns:r="http://schemas.openxmlformats.org/officeDocument/2006/relationships" r:embed="rId17528799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590AEECD" w14:textId="309BBB2C">
      <w:pPr>
        <w:spacing w:before="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21DB3DC0" w14:textId="17BBCAAC">
      <w:pPr>
        <w:spacing w:before="0" w:beforeAutospacing="off" w:after="240" w:afterAutospacing="off"/>
        <w:jc w:val="left"/>
      </w:pPr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avaliar a eficiência alocativa da máquina pública, estimou-se um modelo de regressão linear simples relacionando a Despesa Real (variável independente) e o indicador social selecionado (variável dependente) no município de Betim. O modelo foi processado no Excel, gerando a equação da reta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=−3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−10</m:t>
          </m:r>
          <m:r xmlns:m="http://schemas.openxmlformats.org/officeDocument/2006/math">
            <m:t xmlns:m="http://schemas.openxmlformats.org/officeDocument/2006/math">𝑥</m:t>
          </m:r>
          <m:r xmlns:m="http://schemas.openxmlformats.org/officeDocument/2006/math">
            <m:t xmlns:m="http://schemas.openxmlformats.org/officeDocument/2006/math">+6,8964</m:t>
          </m:r>
        </m:oMath>
      </m:oMathPara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 o coeficiente de determinação </w:t>
      </w:r>
      <m:oMathPara xmlns:m="http://schemas.openxmlformats.org/officeDocument/2006/math">
        <m:oMath xmlns:m="http://schemas.openxmlformats.org/officeDocument/2006/math">
          <m:d xmlns:m="http://schemas.openxmlformats.org/officeDocument/2006/math">
            <m:dPr>
              <m:ctrlPr/>
            </m:dPr>
            <m:e>
              <m:sSup>
                <m:sSupPr>
                  <m:ctrlPr/>
                </m:sSupPr>
                <m:e>
                  <m:r>
                    <m:t>𝑅</m:t>
                  </m:r>
                </m:e>
                <m:sup>
                  <m:r>
                    <m:t>2</m:t>
                  </m:r>
                </m:sup>
              </m:sSup>
              <m:r>
                <m:t>=0,2052</m:t>
              </m:r>
            </m:e>
          </m:d>
        </m:oMath>
      </m:oMathPara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31898954" w:rsidP="085FABFE" w:rsidRDefault="31898954" w14:paraId="2A2D75D9" w14:textId="2F1C8F99">
      <w:pPr>
        <w:spacing w:before="0" w:beforeAutospacing="off" w:after="240" w:afterAutospacing="off"/>
        <w:jc w:val="left"/>
      </w:pPr>
      <w:r w:rsidRPr="085FABFE" w:rsidR="32365FA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Análise Crítica:</w:t>
      </w:r>
    </w:p>
    <w:p w:rsidR="31898954" w:rsidP="085FABFE" w:rsidRDefault="31898954" w14:paraId="1744CE76" w14:textId="6F20C698">
      <w:pPr>
        <w:spacing w:before="0" w:beforeAutospacing="off" w:after="240" w:afterAutospacing="off"/>
        <w:jc w:val="left"/>
      </w:pPr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resultado estatístico </w:t>
      </w:r>
      <m:oMathPara xmlns:m="http://schemas.openxmlformats.org/officeDocument/2006/math">
        <m:oMath xmlns:m="http://schemas.openxmlformats.org/officeDocument/2006/math">
          <m:d xmlns:m="http://schemas.openxmlformats.org/officeDocument/2006/math">
            <m:dPr>
              <m:ctrlPr/>
            </m:dPr>
            <m:e>
              <m:sSup>
                <m:sSupPr>
                  <m:ctrlPr/>
                </m:sSupPr>
                <m:e>
                  <m:r>
                    <m:t>𝑅</m:t>
                  </m:r>
                </m:e>
                <m:sup>
                  <m:r>
                    <m:t>2</m:t>
                  </m:r>
                </m:sup>
              </m:sSup>
              <m:r>
                <m:t>≈0,20</m:t>
              </m:r>
            </m:e>
          </m:d>
        </m:oMath>
      </m:oMathPara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demonstra uma completa ausência de correlação linear positiva entre as variáveis: a variação nas despesas do município explica </w:t>
      </w:r>
      <w:r w:rsidRPr="085FABFE" w:rsidR="379F6252">
        <w:rPr>
          <w:rFonts w:ascii="Aptos" w:hAnsi="Aptos" w:eastAsia="Aptos" w:cs="Aptos"/>
          <w:noProof w:val="0"/>
          <w:sz w:val="24"/>
          <w:szCs w:val="24"/>
          <w:lang w:val="pt-BR"/>
        </w:rPr>
        <w:t>20</w:t>
      </w:r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>% da variação nos resultados sociais. Além disso, a inclinação negativa e infinitesimal da reta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=−3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−10</m:t>
          </m:r>
          <m:r xmlns:m="http://schemas.openxmlformats.org/officeDocument/2006/math">
            <m:t xmlns:m="http://schemas.openxmlformats.org/officeDocument/2006/math">𝑥</m:t>
          </m:r>
        </m:oMath>
      </m:oMathPara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>) demonstra que injetar mais recursos não está associado a melhorias no indicador.</w:t>
      </w:r>
    </w:p>
    <w:p w:rsidR="31898954" w:rsidP="085FABFE" w:rsidRDefault="31898954" w14:paraId="3CECCCD5" w14:textId="2AC5CAAE">
      <w:pPr>
        <w:spacing w:before="0" w:beforeAutospacing="off" w:after="240" w:afterAutospacing="off"/>
        <w:jc w:val="left"/>
      </w:pPr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Do ponto de vista da teoria das Finanças Públicas, este resultado empírico comprova de forma contundente a tese de Biderman e Arvate (2004) sobre a "ineficiência do setor público". O modelo burocrático tradicional, focado estritamente no cumprimento da legalidade da despesa (gastar os mínimos constitucionais), falha ao presumir que o </w:t>
      </w:r>
      <w:r w:rsidRPr="085FABFE" w:rsidR="32365FA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input</w:t>
      </w:r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financeiro se traduz automaticamente num </w:t>
      </w:r>
      <w:r w:rsidRPr="085FABFE" w:rsidR="32365FA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output</w:t>
      </w:r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social positivo.</w:t>
      </w:r>
    </w:p>
    <w:p w:rsidR="31898954" w:rsidP="085FABFE" w:rsidRDefault="31898954" w14:paraId="7D856167" w14:textId="54337941">
      <w:pPr>
        <w:spacing w:before="0" w:beforeAutospacing="off" w:after="240" w:afterAutospacing="off"/>
        <w:jc w:val="left"/>
      </w:pPr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Sob a ótica da Administração Pública Gerencial (Bresser-Pereira, 2017), esta profunda ineficiência reflete uma disfunção estrutural: o município gasta, mas não gere por resultados. A máquina pública carece de mecanismos de avaliação de desempenho e de uma </w:t>
      </w:r>
      <w:r w:rsidRPr="085FABFE" w:rsidR="32365FA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085FABFE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voltada para o cidadão. Como argumenta Campos (1990), a prestação de contas não deve limitar-se ao equilíbrio contabilístico legal, mas sim à demonstração de que o Estado tem a capacidade de entregar valor e serviços de qualidade. O gráfico prova empiricamente que, em Betim, o simples aumento da despesa não está a garantir a efetividade da política pública na ponta.</w:t>
      </w:r>
    </w:p>
    <w:p w:rsidR="31898954" w:rsidP="085FABFE" w:rsidRDefault="31898954" w14:paraId="7BB1DD56" w14:textId="0DE11F55">
      <w:pPr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49B22D01" w14:textId="5DF7CA79">
      <w:pPr>
        <w:pStyle w:val="Heading4"/>
        <w:jc w:val="left"/>
      </w:pPr>
      <w:r w:rsidRPr="085FABFE" w:rsidR="3D485376">
        <w:rPr>
          <w:noProof w:val="0"/>
          <w:lang w:val="pt-BR"/>
        </w:rPr>
        <w:t>6) Construa uma Curva de Laffer empírica (receita vs proxy de carga tributária), com gráfico e regressão.</w:t>
      </w:r>
    </w:p>
    <w:p w:rsidR="31898954" w:rsidP="085FABFE" w:rsidRDefault="31898954" w14:paraId="7DC1C4A8" w14:textId="203FB768">
      <w:pPr>
        <w:jc w:val="left"/>
      </w:pPr>
      <w:r w:rsidRPr="085FABFE" w:rsidR="1D9638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</w:p>
    <w:p w:rsidR="31898954" w:rsidP="085FABFE" w:rsidRDefault="31898954" w14:paraId="11D3626B" w14:textId="21789765">
      <w:pPr>
        <w:pStyle w:val="Normal"/>
        <w:jc w:val="left"/>
      </w:pPr>
      <w:r w:rsidRPr="085FABFE" w:rsidR="1D9638A7">
        <w:rPr>
          <w:noProof w:val="0"/>
          <w:lang w:val="pt-BR"/>
        </w:rPr>
        <w:t>Estimativa Empírica da Curva de Laffer</w:t>
      </w:r>
    </w:p>
    <w:p w:rsidR="31898954" w:rsidP="085FABFE" w:rsidRDefault="31898954" w14:paraId="53F0535F" w14:textId="5F43FD0B">
      <w:pPr>
        <w:spacing w:before="0" w:beforeAutospacing="off" w:after="0" w:afterAutospacing="off"/>
        <w:jc w:val="left"/>
      </w:pPr>
    </w:p>
    <w:p w:rsidR="31898954" w:rsidP="085FABFE" w:rsidRDefault="31898954" w14:paraId="0EA530EB" w14:textId="0E8B0BB1">
      <w:pPr>
        <w:spacing w:before="0" w:beforeAutospacing="off" w:after="0" w:afterAutospacing="off"/>
        <w:jc w:val="left"/>
      </w:pPr>
      <w:r w:rsidR="19279A2F">
        <w:drawing>
          <wp:inline wp14:editId="6575E2AF" wp14:anchorId="5C9E7748">
            <wp:extent cx="4591050" cy="2762250"/>
            <wp:effectExtent l="0" t="0" r="0" b="0"/>
            <wp:docPr id="5129891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2989180" name="Picture 512989180"/>
                    <pic:cNvPicPr/>
                  </pic:nvPicPr>
                  <pic:blipFill>
                    <a:blip xmlns:r="http://schemas.openxmlformats.org/officeDocument/2006/relationships" r:embed="rId5660040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227AE220" w14:textId="37D2AAC9">
      <w:pPr>
        <w:pStyle w:val="Normal"/>
        <w:jc w:val="left"/>
        <w:rPr>
          <w:noProof w:val="0"/>
          <w:lang w:val="pt-BR"/>
        </w:rPr>
      </w:pPr>
    </w:p>
    <w:p w:rsidR="31898954" w:rsidP="085FABFE" w:rsidRDefault="31898954" w14:paraId="6A098808" w14:textId="6E861AF0">
      <w:pPr>
        <w:spacing w:before="0" w:beforeAutospacing="off" w:after="240" w:afterAutospacing="off"/>
        <w:jc w:val="left"/>
      </w:pP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teoria da Curva de </w:t>
      </w: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Laffer</w:t>
      </w: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postula a existência de uma relação não-linear (parabólica) entre a carga tributária e a receita arrecadada, sugerindo que existe um ponto de extração ótimo que maximiza os recursos estatais. Para testar este postulado no nível subnacional, cruzou-se a </w:t>
      </w:r>
      <w:r w:rsidRPr="085FABFE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Receita Tributária Real</w:t>
      </w: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do município de Betim (variável dependente) com a </w:t>
      </w:r>
      <w:r w:rsidRPr="085FABFE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Proxy de Carga Tributária</w:t>
      </w: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calculada (variável independente), estimando-se uma regressão polinomial de 2ª ordem. O modelo resultou na equação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=3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+10</m:t>
          </m:r>
          <m:sSup xmlns:m="http://schemas.openxmlformats.org/officeDocument/2006/math">
            <m:sSupPr>
              <m:ctrlPr/>
            </m:sSupPr>
            <m:e>
              <m:r>
                <m:t>𝑥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−5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+09</m:t>
          </m:r>
          <m:r xmlns:m="http://schemas.openxmlformats.org/officeDocument/2006/math">
            <m:t xmlns:m="http://schemas.openxmlformats.org/officeDocument/2006/math">𝑥</m:t>
          </m:r>
          <m:r xmlns:m="http://schemas.openxmlformats.org/officeDocument/2006/math">
            <m:t xmlns:m="http://schemas.openxmlformats.org/officeDocument/2006/math">+4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+08</m:t>
          </m:r>
        </m:oMath>
      </m:oMathPara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com um coeficiente de determinação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</m:oMath>
      </m:oMathPara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) de </w:t>
      </w:r>
      <w:r w:rsidRPr="085FABFE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0,6874</w:t>
      </w: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31898954" w:rsidP="085FABFE" w:rsidRDefault="31898954" w14:paraId="7239A2BD" w14:textId="6C4801D8">
      <w:pPr>
        <w:spacing w:before="0" w:beforeAutospacing="off" w:after="240" w:afterAutospacing="off"/>
        <w:jc w:val="left"/>
      </w:pPr>
      <w:r w:rsidRPr="085FABFE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Análise Crítica:</w:t>
      </w:r>
    </w:p>
    <w:p w:rsidR="31898954" w:rsidP="085FABFE" w:rsidRDefault="31898954" w14:paraId="7C95A424" w14:textId="0A324F3E">
      <w:pPr>
        <w:spacing w:before="0" w:beforeAutospacing="off" w:after="240" w:afterAutospacing="off"/>
        <w:jc w:val="left"/>
      </w:pP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O resultado estatístico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≈0,69</m:t>
          </m:r>
        </m:oMath>
      </m:oMathPara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) demonstra uma aderência significativa dos dados reais ao modelo teórico. Isso significa que quase 70% da variação na arrecadação própria de Betim pode ser explicada pela intensidade da carga tributária exercida sobre a economia local. A trajetória da curva permite identificar a dinâmica da política fiscal municipal: a arrecadação não cresce de forma infinita; ela responde aos limites de capacidade contributiva do setor produtivo e imobiliário.</w:t>
      </w:r>
    </w:p>
    <w:p w:rsidR="31898954" w:rsidP="085FABFE" w:rsidRDefault="31898954" w14:paraId="224B00C3" w14:textId="5F27B0D1">
      <w:pPr>
        <w:spacing w:before="0" w:beforeAutospacing="off" w:after="240" w:afterAutospacing="off"/>
        <w:jc w:val="left"/>
      </w:pP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Sob a ótica de </w:t>
      </w:r>
      <w:r w:rsidRPr="085FABFE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Biderman e Arvate (2004)</w:t>
      </w: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, o alto poder explicativo desta curva em Betim reflete a importância da gestão das alíquotas de ISS e IPTU. Como Betim possui uma base econômica industrial relevante, o gestor precisa ter cautela: ultrapassar o "ponto ótimo" da curva poderia desestimular investimentos produtivos ou causar fuga de empresas para municípios vizinhos com menor pressão fiscal.</w:t>
      </w:r>
    </w:p>
    <w:p w:rsidR="31898954" w:rsidP="085FABFE" w:rsidRDefault="31898954" w14:paraId="480291EC" w14:textId="104BE938">
      <w:pPr>
        <w:spacing w:before="0" w:beforeAutospacing="off" w:after="240" w:afterAutospacing="off"/>
        <w:jc w:val="left"/>
      </w:pP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a </w:t>
      </w:r>
      <w:r w:rsidRPr="085FABFE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Administração Pública Gerencial (Bresser-Pereira, 2017)</w:t>
      </w:r>
      <w:r w:rsidRPr="085FABFE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, este diagnóstico comprova que a sustentabilidade fiscal não deve ser buscada apenas pelo aumento da extração tributária (que encontra limites empíricos claros no gráfico), mas sim pela eficiência na alocação desses recursos. Uma vez que o município já opera em um patamar de alta extração e correlação, o foco deve migrar do "arrecadar mais" para o "gerir melhor", garantindo que cada real extraído da sociedade retorne na forma de serviços públicos de qualidade e infraestrutura indutora do desenvolvimento.</w:t>
      </w:r>
    </w:p>
    <w:p w:rsidR="31898954" w:rsidP="085FABFE" w:rsidRDefault="31898954" w14:paraId="36296C79" w14:textId="43495DEC">
      <w:pPr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5BB822DD" w14:textId="755A21F9">
      <w:pPr>
        <w:pStyle w:val="Heading4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85FABFE" w:rsidR="3D485376">
        <w:rPr>
          <w:noProof w:val="0"/>
          <w:lang w:val="pt-BR"/>
        </w:rPr>
        <w:t xml:space="preserve">7) Estime a regressão: Receita = </w:t>
      </w:r>
      <w:r w:rsidRPr="085FABFE" w:rsidR="3D485376">
        <w:rPr>
          <w:noProof w:val="0"/>
          <w:lang w:val="en-US"/>
        </w:rPr>
        <w:t>β</w:t>
      </w:r>
      <w:r w:rsidRPr="085FABFE" w:rsidR="3D485376">
        <w:rPr>
          <w:noProof w:val="0"/>
          <w:lang w:val="pt-BR"/>
        </w:rPr>
        <w:t xml:space="preserve">0 + </w:t>
      </w:r>
      <w:r w:rsidRPr="085FABFE" w:rsidR="3D485376">
        <w:rPr>
          <w:noProof w:val="0"/>
          <w:lang w:val="en-US"/>
        </w:rPr>
        <w:t>β</w:t>
      </w:r>
      <w:r w:rsidRPr="085FABFE" w:rsidR="3D485376">
        <w:rPr>
          <w:noProof w:val="0"/>
          <w:lang w:val="pt-BR"/>
        </w:rPr>
        <w:t xml:space="preserve">1 PIB + </w:t>
      </w:r>
      <w:r w:rsidRPr="085FABFE" w:rsidR="3D485376">
        <w:rPr>
          <w:noProof w:val="0"/>
          <w:lang w:val="en-US"/>
        </w:rPr>
        <w:t>ε</w:t>
      </w:r>
      <w:r w:rsidRPr="085FABFE" w:rsidR="3D485376">
        <w:rPr>
          <w:noProof w:val="0"/>
          <w:lang w:val="pt-BR"/>
        </w:rPr>
        <w:t xml:space="preserve">. Explique: (i) como coletou os dados; (ii) como estimou o modelo (Excel, R ou Python); (iii) interpretação econômica de </w:t>
      </w:r>
      <w:r w:rsidRPr="085FABFE" w:rsidR="3D485376">
        <w:rPr>
          <w:noProof w:val="0"/>
          <w:lang w:val="en-US"/>
        </w:rPr>
        <w:t>β</w:t>
      </w:r>
      <w:r w:rsidRPr="085FABFE" w:rsidR="3D485376">
        <w:rPr>
          <w:noProof w:val="0"/>
          <w:lang w:val="pt-BR"/>
        </w:rPr>
        <w:t>1; (iv) gráfico de dispersão; (v) implicações fiscais.</w:t>
      </w:r>
    </w:p>
    <w:p w:rsidR="31898954" w:rsidP="085FABFE" w:rsidRDefault="31898954" w14:paraId="5128411E" w14:textId="7CD06F46">
      <w:pPr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3F7866AF" w14:textId="465736FC">
      <w:pPr>
        <w:pStyle w:val="Normal"/>
        <w:jc w:val="left"/>
      </w:pPr>
      <w:r w:rsidRPr="085FABFE" w:rsidR="7B0C18B5">
        <w:rPr>
          <w:noProof w:val="0"/>
          <w:lang w:val="pt-BR"/>
        </w:rPr>
        <w:t>Estimativa do Modelo de Elasticidade (Receita = β0 + β1 PIB + ε)</w:t>
      </w:r>
    </w:p>
    <w:p w:rsidR="31898954" w:rsidP="085FABFE" w:rsidRDefault="31898954" w14:paraId="45E3B872" w14:textId="39389AB5">
      <w:pPr>
        <w:spacing w:before="0" w:beforeAutospacing="off" w:after="0" w:afterAutospacing="off"/>
        <w:jc w:val="left"/>
      </w:pPr>
      <w:r w:rsidR="0388481F">
        <w:drawing>
          <wp:inline wp14:editId="141A1D1E" wp14:anchorId="7A768CA8">
            <wp:extent cx="4591050" cy="2762250"/>
            <wp:effectExtent l="0" t="0" r="0" b="0"/>
            <wp:docPr id="16520624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2062403" name="Picture 1652062403"/>
                    <pic:cNvPicPr/>
                  </pic:nvPicPr>
                  <pic:blipFill>
                    <a:blip xmlns:r="http://schemas.openxmlformats.org/officeDocument/2006/relationships" r:embed="rId4563314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769BE72B" w14:textId="301D1E01">
      <w:pPr>
        <w:spacing w:before="0" w:beforeAutospacing="off" w:after="0" w:afterAutospacing="off"/>
        <w:jc w:val="left"/>
      </w:pPr>
      <w:r w:rsidR="6791CFC6">
        <w:drawing>
          <wp:inline wp14:editId="7852AD02" wp14:anchorId="2F624C6A">
            <wp:extent cx="4591050" cy="2762250"/>
            <wp:effectExtent l="0" t="0" r="0" b="0"/>
            <wp:docPr id="10419665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1966513" name="Picture 1041966513"/>
                    <pic:cNvPicPr/>
                  </pic:nvPicPr>
                  <pic:blipFill>
                    <a:blip xmlns:r="http://schemas.openxmlformats.org/officeDocument/2006/relationships" r:embed="rId12345192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4B88F860" w14:textId="4AAB77BD">
      <w:pPr>
        <w:spacing w:before="0" w:beforeAutospacing="off" w:after="0" w:afterAutospacing="off"/>
        <w:jc w:val="left"/>
      </w:pPr>
    </w:p>
    <w:p w:rsidR="31898954" w:rsidP="085FABFE" w:rsidRDefault="31898954" w14:paraId="00D94B79" w14:textId="1D6EB08A">
      <w:pPr>
        <w:spacing w:before="0" w:beforeAutospacing="off" w:after="0" w:afterAutospacing="off"/>
        <w:jc w:val="left"/>
      </w:pPr>
    </w:p>
    <w:p w:rsidR="31898954" w:rsidP="085FABFE" w:rsidRDefault="31898954" w14:paraId="5F695243" w14:textId="2A6C1C83">
      <w:pPr>
        <w:spacing w:before="0" w:beforeAutospacing="off" w:after="0" w:afterAutospacing="off"/>
        <w:jc w:val="left"/>
      </w:pPr>
    </w:p>
    <w:p w:rsidR="31898954" w:rsidP="085FABFE" w:rsidRDefault="31898954" w14:paraId="03EB1CA4" w14:textId="57AE0512">
      <w:pPr>
        <w:spacing w:before="0" w:beforeAutospacing="off" w:after="240" w:afterAutospacing="off"/>
        <w:jc w:val="left"/>
      </w:pP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avaliar a sensibilidade da arrecadação municipal face ao ciclo económico, estimou-se o modelo de regressão linear simples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Receita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 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Total</m:t>
          </m:r>
          <m:r xmlns:m="http://schemas.openxmlformats.org/officeDocument/2006/math">
            <m:t xmlns:m="http://schemas.openxmlformats.org/officeDocument/2006/math">=</m:t>
          </m:r>
          <m:sSub xmlns:m="http://schemas.openxmlformats.org/officeDocument/2006/math">
            <m:sSubPr>
              <m:ctrlPr/>
            </m:sSubPr>
            <m:e>
              <m:r>
                <m:t>𝛽</m:t>
              </m:r>
            </m:e>
            <m:sub>
              <m:r>
                <m:t>0</m:t>
              </m:r>
            </m:sub>
          </m:sSub>
          <m:r xmlns:m="http://schemas.openxmlformats.org/officeDocument/2006/math">
            <m:t xmlns:m="http://schemas.openxmlformats.org/officeDocument/2006/math">+</m:t>
          </m:r>
          <m:sSub xmlns:m="http://schemas.openxmlformats.org/officeDocument/2006/math">
            <m:sSubPr>
              <m:ctrlPr/>
            </m:sSubPr>
            <m:e>
              <m:r>
                <m:t>𝛽</m:t>
              </m:r>
            </m:e>
            <m:sub>
              <m:r>
                <m:t>1</m:t>
              </m:r>
            </m:sub>
          </m:sSub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PIB</m:t>
          </m:r>
          <m:r xmlns:m="http://schemas.openxmlformats.org/officeDocument/2006/math">
            <m:t xmlns:m="http://schemas.openxmlformats.org/officeDocument/2006/math">+</m:t>
          </m:r>
          <m:r xmlns:m="http://schemas.openxmlformats.org/officeDocument/2006/math">
            <m:t xmlns:m="http://schemas.openxmlformats.org/officeDocument/2006/math">𝜀</m:t>
          </m:r>
        </m:oMath>
      </m:oMathPara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para ambos os municípios. Devido à defasagem na divulgação do PIB municipal pelo IBGE, utilizou-se a variação real da riqueza regional como </w:t>
      </w:r>
      <w:r w:rsidRPr="085FABFE" w:rsidR="7B0C18B5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proxy</w:t>
      </w: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macroeconómica para manter a integridade da série temporal de 10 anos.</w:t>
      </w:r>
    </w:p>
    <w:p w:rsidR="31898954" w:rsidP="085FABFE" w:rsidRDefault="31898954" w14:paraId="49FA015B" w14:textId="12AFAE90">
      <w:pPr>
        <w:spacing w:before="0" w:beforeAutospacing="off" w:after="240" w:afterAutospacing="off"/>
        <w:jc w:val="left"/>
      </w:pP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>Os modelos processados no Excel apresentaram os seguintes resultados:</w:t>
      </w:r>
    </w:p>
    <w:p w:rsidR="31898954" w:rsidP="085FABFE" w:rsidRDefault="31898954" w14:paraId="5C078A4A" w14:textId="1DD14728">
      <w:pPr>
        <w:pStyle w:val="ListParagraph"/>
        <w:numPr>
          <w:ilvl w:val="0"/>
          <w:numId w:val="5"/>
        </w:num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7B0C18B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Betim:</w:t>
      </w: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=21,86</m:t>
          </m:r>
          <m:r xmlns:m="http://schemas.openxmlformats.org/officeDocument/2006/math">
            <m:t xmlns:m="http://schemas.openxmlformats.org/officeDocument/2006/math">𝑥</m:t>
          </m:r>
          <m:r xmlns:m="http://schemas.openxmlformats.org/officeDocument/2006/math">
            <m:t xmlns:m="http://schemas.openxmlformats.org/officeDocument/2006/math">+2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+09</m:t>
          </m:r>
        </m:oMath>
      </m:oMathPara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| 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=0,3800</m:t>
          </m:r>
        </m:oMath>
      </m:oMathPara>
    </w:p>
    <w:p w:rsidR="31898954" w:rsidP="085FABFE" w:rsidRDefault="31898954" w14:paraId="38D62C2A" w14:textId="1C09C09C">
      <w:pPr>
        <w:pStyle w:val="ListParagraph"/>
        <w:numPr>
          <w:ilvl w:val="0"/>
          <w:numId w:val="5"/>
        </w:num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7B0C18B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Governador Valadares:</w:t>
      </w: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=133,90</m:t>
          </m:r>
          <m:r xmlns:m="http://schemas.openxmlformats.org/officeDocument/2006/math">
            <m:t xmlns:m="http://schemas.openxmlformats.org/officeDocument/2006/math">𝑥</m:t>
          </m:r>
          <m:r xmlns:m="http://schemas.openxmlformats.org/officeDocument/2006/math">
            <m:t xmlns:m="http://schemas.openxmlformats.org/officeDocument/2006/math">+4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+08</m:t>
          </m:r>
        </m:oMath>
      </m:oMathPara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| 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=0,8025</m:t>
          </m:r>
        </m:oMath>
      </m:oMathPara>
    </w:p>
    <w:p w:rsidR="31898954" w:rsidP="085FABFE" w:rsidRDefault="31898954" w14:paraId="6F880CE9" w14:textId="65F9858F">
      <w:pPr>
        <w:spacing w:before="0" w:beforeAutospacing="off" w:after="240" w:afterAutospacing="off"/>
        <w:jc w:val="left"/>
      </w:pPr>
      <w:r w:rsidRPr="085FABFE" w:rsidR="7B0C18B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Análise Crítica:</w:t>
      </w:r>
    </w:p>
    <w:p w:rsidR="31898954" w:rsidP="085FABFE" w:rsidRDefault="31898954" w14:paraId="402D602D" w14:textId="58DDEF76">
      <w:pPr>
        <w:spacing w:before="0" w:beforeAutospacing="off" w:after="240" w:afterAutospacing="off"/>
        <w:jc w:val="left"/>
      </w:pP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parâmetro </w:t>
      </w:r>
      <m:oMathPara xmlns:m="http://schemas.openxmlformats.org/officeDocument/2006/math">
        <m:oMath xmlns:m="http://schemas.openxmlformats.org/officeDocument/2006/math">
          <m:sSub xmlns:m="http://schemas.openxmlformats.org/officeDocument/2006/math">
            <m:sSubPr>
              <m:ctrlPr/>
            </m:sSubPr>
            <m:e>
              <m:r>
                <m:t>𝛽</m:t>
              </m:r>
            </m:e>
            <m:sub>
              <m:r>
                <m:t>1</m:t>
              </m:r>
            </m:sub>
          </m:sSub>
        </m:oMath>
      </m:oMathPara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positivo em ambos os modelos confirma que a receita de ambas as autarquias é </w:t>
      </w:r>
      <w:r w:rsidRPr="085FABFE" w:rsidR="7B0C18B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pró-cíclica</w:t>
      </w: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em relação ao PIB, ou seja, a arrecadação acompanha o crescimento económico. Contudo, a diferença nos coeficientes de determinação ($R^2$) revela realidades fiscais estruturalmente distintas.</w:t>
      </w:r>
    </w:p>
    <w:p w:rsidR="31898954" w:rsidP="085FABFE" w:rsidRDefault="31898954" w14:paraId="4769DAF9" w14:textId="7993846A">
      <w:pPr>
        <w:spacing w:before="0" w:beforeAutospacing="off" w:after="240" w:afterAutospacing="off"/>
        <w:jc w:val="left"/>
      </w:pP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Em Governador Valadares, o elevadíssimo 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</m:oMath>
      </m:oMathPara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(80,25%) indica que o orçamento municipal é altamente sensível à macroeconomia. Esta é uma característica típica de cidades baseadas em comércio e serviços que dependem massivamente de transferências constitucionais (FPM e quota-parte do ICMS). Como alertam Biderman e Arvate (2004), esta alta elasticidade gera uma vulnerabilidade profunda: em cenários de recessão económica estadual ou nacional, as receitas de Valadares sofrem quedas abruptas, ameaçando a continuidade das políticas públicas locais.</w:t>
      </w:r>
    </w:p>
    <w:p w:rsidR="31898954" w:rsidP="085FABFE" w:rsidRDefault="31898954" w14:paraId="719378A5" w14:textId="345D0161">
      <w:pPr>
        <w:spacing w:before="0" w:beforeAutospacing="off" w:after="240" w:afterAutospacing="off"/>
        <w:jc w:val="left"/>
      </w:pP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Por outro lado, o modelo de Betim apresenta um 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</m:oMath>
      </m:oMathPara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moderado-baixo (38%). Esta menor dependência mecânica explica-se pela sua complexa base industrial (automóvel e petrolífera). A sua arrecadação é ditada por </w:t>
      </w: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>micro-ciclos</w:t>
      </w: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da indústria e </w:t>
      </w:r>
      <w:r w:rsidRPr="085FABFE" w:rsidR="7B0C18B5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royalties</w:t>
      </w: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>, conferindo-lhe uma dinâmica fiscal mais descolada do PIB geral.</w:t>
      </w:r>
    </w:p>
    <w:p w:rsidR="31898954" w:rsidP="085FABFE" w:rsidRDefault="31898954" w14:paraId="359E54F5" w14:textId="73487C58">
      <w:pPr>
        <w:spacing w:before="0" w:beforeAutospacing="off" w:after="240" w:afterAutospacing="off"/>
        <w:jc w:val="left"/>
      </w:pPr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>Para a Administração Pública Gerencial (Bresser-Pereira, 2017), os resultados deste modelo econométrico evidenciam a necessidade de um planeamento orçamental contingencial rigoroso. Especialmente em Valadares, a alta elasticidade (</w:t>
      </w:r>
      <m:oMathPara xmlns:m="http://schemas.openxmlformats.org/officeDocument/2006/math">
        <m:oMath xmlns:m="http://schemas.openxmlformats.org/officeDocument/2006/math">
          <m:sSub xmlns:m="http://schemas.openxmlformats.org/officeDocument/2006/math">
            <m:sSubPr>
              <m:ctrlPr/>
            </m:sSubPr>
            <m:e>
              <m:r>
                <m:t>𝛽</m:t>
              </m:r>
            </m:e>
            <m:sub>
              <m:r>
                <m:t>1</m:t>
              </m:r>
            </m:sub>
          </m:sSub>
        </m:oMath>
      </m:oMathPara>
      <w:r w:rsidRPr="085FABFE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= 133,9$) exige que o Estado abandone a gestão passiva e institua fundos de reserva ou mecanismos de flexibilização da despesa para evitar que as flutuações inevitáveis do PIB comprometam a prestação de serviços universais ao cidadão.</w:t>
      </w:r>
    </w:p>
    <w:p w:rsidR="31898954" w:rsidP="085FABFE" w:rsidRDefault="31898954" w14:paraId="5B5E36BA" w14:textId="6033706F">
      <w:pPr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3421B88C" w14:textId="5F245309">
      <w:pPr>
        <w:pStyle w:val="Heading4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85FABFE" w:rsidR="3D485376">
        <w:rPr>
          <w:noProof w:val="0"/>
          <w:lang w:val="pt-BR"/>
        </w:rPr>
        <w:t>8) Construa mapa temático (georreferenciamento) comparando receita ou gasto per capita no estado.</w:t>
      </w:r>
    </w:p>
    <w:p w:rsidR="31898954" w:rsidP="085FABFE" w:rsidRDefault="31898954" w14:paraId="236CDE70" w14:textId="484345FB">
      <w:pPr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4EF11CBB" w14:textId="6CD207F6">
      <w:pPr>
        <w:pStyle w:val="Normal"/>
        <w:spacing w:before="240" w:beforeAutospacing="off" w:after="240" w:afterAutospacing="off"/>
        <w:jc w:val="left"/>
      </w:pPr>
      <w:r w:rsidR="10C332A3">
        <w:drawing>
          <wp:inline wp14:editId="72590446" wp14:anchorId="4BDF0BD0">
            <wp:extent cx="5762625" cy="4600575"/>
            <wp:effectExtent l="0" t="0" r="0" b="0"/>
            <wp:docPr id="11729842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2984251" name="Picture 1172984251"/>
                    <pic:cNvPicPr/>
                  </pic:nvPicPr>
                  <pic:blipFill>
                    <a:blip xmlns:r="http://schemas.openxmlformats.org/officeDocument/2006/relationships" r:embed="rId5284252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134A7B3E" w14:textId="43028A2C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6A4EA6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8.1 Metodologia </w:t>
      </w:r>
    </w:p>
    <w:p w:rsidR="31898954" w:rsidP="085FABFE" w:rsidRDefault="31898954" w14:paraId="7C6C67CC" w14:textId="3AB4EECC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6A4EA6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mapa temático foi construído utilizando: </w:t>
      </w:r>
    </w:p>
    <w:p w:rsidR="31898954" w:rsidP="085FABFE" w:rsidRDefault="31898954" w14:paraId="125EDF81" w14:textId="027EDBF5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6A4EA6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Dados: Receita Total Realizada (Siconfi/FINBRA 2023) para os 853 municípios de Minas Gerais </w:t>
      </w:r>
    </w:p>
    <w:p w:rsidR="31898954" w:rsidP="085FABFE" w:rsidRDefault="31898954" w14:paraId="5CDEDC56" w14:textId="22B04C9F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6A4EA6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Variável: Receita per Capita = Receita Total / População </w:t>
      </w:r>
    </w:p>
    <w:p w:rsidR="31898954" w:rsidP="085FABFE" w:rsidRDefault="31898954" w14:paraId="355877C7" w14:textId="6907D1C7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6A4EA6DD">
        <w:rPr>
          <w:rFonts w:ascii="Aptos" w:hAnsi="Aptos" w:eastAsia="Aptos" w:cs="Aptos"/>
          <w:noProof w:val="0"/>
          <w:sz w:val="24"/>
          <w:szCs w:val="24"/>
          <w:lang w:val="pt-BR"/>
        </w:rPr>
        <w:t>Classificação: Quantis (5 classes) para melhor visualização das disparidades</w:t>
      </w:r>
    </w:p>
    <w:p w:rsidR="31898954" w:rsidP="085FABFE" w:rsidRDefault="31898954" w14:paraId="0062AEFF" w14:textId="727A080A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6A4EA6DD">
        <w:rPr>
          <w:rFonts w:ascii="Aptos" w:hAnsi="Aptos" w:eastAsia="Aptos" w:cs="Aptos"/>
          <w:noProof w:val="0"/>
          <w:sz w:val="24"/>
          <w:szCs w:val="24"/>
          <w:lang w:val="pt-BR"/>
        </w:rPr>
        <w:t>Georreferenciamento: Malha municipal do IBGE via GeoJSON</w:t>
      </w:r>
    </w:p>
    <w:p w:rsidR="31898954" w:rsidP="085FABFE" w:rsidRDefault="31898954" w14:paraId="03106B21" w14:textId="281D9DC4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6A4EA6DD">
        <w:rPr>
          <w:rFonts w:ascii="Aptos" w:hAnsi="Aptos" w:eastAsia="Aptos" w:cs="Aptos"/>
          <w:noProof w:val="0"/>
          <w:sz w:val="24"/>
          <w:szCs w:val="24"/>
          <w:lang w:val="pt-BR"/>
        </w:rPr>
        <w:t>8.2 Distribuição de Receita per Capita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590"/>
        <w:gridCol w:w="2940"/>
        <w:gridCol w:w="2265"/>
        <w:gridCol w:w="2401"/>
      </w:tblGrid>
      <w:tr w:rsidR="085FABFE" w:rsidTr="085FABFE" w14:paraId="1A052F11">
        <w:trPr>
          <w:trHeight w:val="300"/>
        </w:trPr>
        <w:tc>
          <w:tcPr>
            <w:tcW w:w="1590" w:type="dxa"/>
            <w:tcMar/>
            <w:vAlign w:val="center"/>
          </w:tcPr>
          <w:p w:rsidR="6A4EA6DD" w:rsidP="085FABFE" w:rsidRDefault="6A4EA6DD" w14:paraId="021FEF15" w14:textId="18171B1E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Classe</w:t>
            </w:r>
          </w:p>
        </w:tc>
        <w:tc>
          <w:tcPr>
            <w:tcW w:w="2940" w:type="dxa"/>
            <w:tcMar/>
            <w:vAlign w:val="center"/>
          </w:tcPr>
          <w:p w:rsidR="6A4EA6DD" w:rsidP="085FABFE" w:rsidRDefault="6A4EA6DD" w14:paraId="6BE718A4" w14:textId="6DBD1E18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 xml:space="preserve">Faixa de Receita </w:t>
            </w: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per Capita</w:t>
            </w: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 xml:space="preserve"> (R$)</w:t>
            </w:r>
          </w:p>
        </w:tc>
        <w:tc>
          <w:tcPr>
            <w:tcW w:w="2265" w:type="dxa"/>
            <w:tcMar/>
            <w:vAlign w:val="center"/>
          </w:tcPr>
          <w:p w:rsidR="6A4EA6DD" w:rsidP="085FABFE" w:rsidRDefault="6A4EA6DD" w14:paraId="47739CEF" w14:textId="78FF345A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Número de Municípios</w:t>
            </w:r>
          </w:p>
        </w:tc>
        <w:tc>
          <w:tcPr>
            <w:tcW w:w="2401" w:type="dxa"/>
            <w:tcMar/>
            <w:vAlign w:val="center"/>
          </w:tcPr>
          <w:p w:rsidR="6A4EA6DD" w:rsidP="085FABFE" w:rsidRDefault="6A4EA6DD" w14:paraId="019D7CDD" w14:textId="35DC1D60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Características</w:t>
            </w:r>
          </w:p>
        </w:tc>
      </w:tr>
      <w:tr w:rsidR="085FABFE" w:rsidTr="085FABFE" w14:paraId="603390F0">
        <w:trPr>
          <w:trHeight w:val="300"/>
        </w:trPr>
        <w:tc>
          <w:tcPr>
            <w:tcW w:w="1590" w:type="dxa"/>
            <w:tcMar/>
            <w:vAlign w:val="center"/>
          </w:tcPr>
          <w:p w:rsidR="6A4EA6DD" w:rsidP="085FABFE" w:rsidRDefault="6A4EA6DD" w14:paraId="0549E76F" w14:textId="77044E38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1 (Mais Baixa)</w:t>
            </w:r>
          </w:p>
        </w:tc>
        <w:tc>
          <w:tcPr>
            <w:tcW w:w="2940" w:type="dxa"/>
            <w:tcMar/>
            <w:vAlign w:val="center"/>
          </w:tcPr>
          <w:p w:rsidR="6A4EA6DD" w:rsidP="085FABFE" w:rsidRDefault="6A4EA6DD" w14:paraId="6D5D2931" w14:textId="3033B92B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-502 a 261</w:t>
            </w:r>
          </w:p>
        </w:tc>
        <w:tc>
          <w:tcPr>
            <w:tcW w:w="2265" w:type="dxa"/>
            <w:tcMar/>
            <w:vAlign w:val="center"/>
          </w:tcPr>
          <w:p w:rsidR="6A4EA6DD" w:rsidP="085FABFE" w:rsidRDefault="6A4EA6DD" w14:paraId="5C49A2E8" w14:textId="0E249F6B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171</w:t>
            </w:r>
          </w:p>
        </w:tc>
        <w:tc>
          <w:tcPr>
            <w:tcW w:w="2401" w:type="dxa"/>
            <w:tcMar/>
            <w:vAlign w:val="center"/>
          </w:tcPr>
          <w:p w:rsidR="6A4EA6DD" w:rsidP="085FABFE" w:rsidRDefault="6A4EA6DD" w14:paraId="2F87747F" w14:textId="10C0AA58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Municípios rurais, baixa atividade econômica</w:t>
            </w:r>
          </w:p>
        </w:tc>
      </w:tr>
      <w:tr w:rsidR="085FABFE" w:rsidTr="085FABFE" w14:paraId="2D2618BE">
        <w:trPr>
          <w:trHeight w:val="300"/>
        </w:trPr>
        <w:tc>
          <w:tcPr>
            <w:tcW w:w="1590" w:type="dxa"/>
            <w:tcMar/>
            <w:vAlign w:val="center"/>
          </w:tcPr>
          <w:p w:rsidR="6A4EA6DD" w:rsidP="085FABFE" w:rsidRDefault="6A4EA6DD" w14:paraId="6559EE1C" w14:textId="3EDA64A4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2</w:t>
            </w:r>
          </w:p>
        </w:tc>
        <w:tc>
          <w:tcPr>
            <w:tcW w:w="2940" w:type="dxa"/>
            <w:tcMar/>
            <w:vAlign w:val="center"/>
          </w:tcPr>
          <w:p w:rsidR="6A4EA6DD" w:rsidP="085FABFE" w:rsidRDefault="6A4EA6DD" w14:paraId="7B4FDB7B" w14:textId="3EEFD6DF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261 a 609</w:t>
            </w:r>
          </w:p>
        </w:tc>
        <w:tc>
          <w:tcPr>
            <w:tcW w:w="2265" w:type="dxa"/>
            <w:tcMar/>
            <w:vAlign w:val="center"/>
          </w:tcPr>
          <w:p w:rsidR="6A4EA6DD" w:rsidP="085FABFE" w:rsidRDefault="6A4EA6DD" w14:paraId="711B32B9" w14:textId="12181577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171</w:t>
            </w:r>
          </w:p>
        </w:tc>
        <w:tc>
          <w:tcPr>
            <w:tcW w:w="2401" w:type="dxa"/>
            <w:tcMar/>
            <w:vAlign w:val="center"/>
          </w:tcPr>
          <w:p w:rsidR="6A4EA6DD" w:rsidP="085FABFE" w:rsidRDefault="6A4EA6DD" w14:paraId="7B1066F5" w14:textId="413DB9E5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Municípios pequenos, economia local limitada</w:t>
            </w:r>
          </w:p>
        </w:tc>
      </w:tr>
      <w:tr w:rsidR="085FABFE" w:rsidTr="085FABFE" w14:paraId="0057B667">
        <w:trPr>
          <w:trHeight w:val="300"/>
        </w:trPr>
        <w:tc>
          <w:tcPr>
            <w:tcW w:w="1590" w:type="dxa"/>
            <w:tcMar/>
            <w:vAlign w:val="center"/>
          </w:tcPr>
          <w:p w:rsidR="6A4EA6DD" w:rsidP="085FABFE" w:rsidRDefault="6A4EA6DD" w14:paraId="30B051CF" w14:textId="168C2055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3</w:t>
            </w:r>
          </w:p>
        </w:tc>
        <w:tc>
          <w:tcPr>
            <w:tcW w:w="2940" w:type="dxa"/>
            <w:tcMar/>
            <w:vAlign w:val="center"/>
          </w:tcPr>
          <w:p w:rsidR="6A4EA6DD" w:rsidP="085FABFE" w:rsidRDefault="6A4EA6DD" w14:paraId="41CBDA28" w14:textId="670F9DF3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609 a 3.764</w:t>
            </w:r>
          </w:p>
        </w:tc>
        <w:tc>
          <w:tcPr>
            <w:tcW w:w="2265" w:type="dxa"/>
            <w:tcMar/>
            <w:vAlign w:val="center"/>
          </w:tcPr>
          <w:p w:rsidR="6A4EA6DD" w:rsidP="085FABFE" w:rsidRDefault="6A4EA6DD" w14:paraId="26F8C2CC" w14:textId="3CB4D01A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171</w:t>
            </w:r>
          </w:p>
        </w:tc>
        <w:tc>
          <w:tcPr>
            <w:tcW w:w="2401" w:type="dxa"/>
            <w:tcMar/>
            <w:vAlign w:val="center"/>
          </w:tcPr>
          <w:p w:rsidR="6A4EA6DD" w:rsidP="085FABFE" w:rsidRDefault="6A4EA6DD" w14:paraId="25664580" w14:textId="68D906EC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Municípios médios, alguma atividade econômica</w:t>
            </w:r>
          </w:p>
        </w:tc>
      </w:tr>
      <w:tr w:rsidR="085FABFE" w:rsidTr="085FABFE" w14:paraId="6C8E8BCA">
        <w:trPr>
          <w:trHeight w:val="300"/>
        </w:trPr>
        <w:tc>
          <w:tcPr>
            <w:tcW w:w="1590" w:type="dxa"/>
            <w:tcMar/>
            <w:vAlign w:val="center"/>
          </w:tcPr>
          <w:p w:rsidR="6A4EA6DD" w:rsidP="085FABFE" w:rsidRDefault="6A4EA6DD" w14:paraId="34D1022E" w14:textId="5115F7A3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4</w:t>
            </w:r>
          </w:p>
        </w:tc>
        <w:tc>
          <w:tcPr>
            <w:tcW w:w="2940" w:type="dxa"/>
            <w:tcMar/>
            <w:vAlign w:val="center"/>
          </w:tcPr>
          <w:p w:rsidR="6A4EA6DD" w:rsidP="085FABFE" w:rsidRDefault="6A4EA6DD" w14:paraId="4E0E477C" w14:textId="1B7E31B2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3.764 a 6.237</w:t>
            </w:r>
          </w:p>
        </w:tc>
        <w:tc>
          <w:tcPr>
            <w:tcW w:w="2265" w:type="dxa"/>
            <w:tcMar/>
            <w:vAlign w:val="center"/>
          </w:tcPr>
          <w:p w:rsidR="6A4EA6DD" w:rsidP="085FABFE" w:rsidRDefault="6A4EA6DD" w14:paraId="6307EEA4" w14:textId="74498E83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171</w:t>
            </w:r>
          </w:p>
        </w:tc>
        <w:tc>
          <w:tcPr>
            <w:tcW w:w="2401" w:type="dxa"/>
            <w:tcMar/>
            <w:vAlign w:val="center"/>
          </w:tcPr>
          <w:p w:rsidR="6A4EA6DD" w:rsidP="085FABFE" w:rsidRDefault="6A4EA6DD" w14:paraId="6FB1C1B6" w14:textId="0EA194F2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Municípios maiores, economia mais diversificada</w:t>
            </w:r>
          </w:p>
        </w:tc>
      </w:tr>
      <w:tr w:rsidR="085FABFE" w:rsidTr="085FABFE" w14:paraId="0915CD1B">
        <w:trPr>
          <w:trHeight w:val="300"/>
        </w:trPr>
        <w:tc>
          <w:tcPr>
            <w:tcW w:w="1590" w:type="dxa"/>
            <w:tcMar/>
            <w:vAlign w:val="center"/>
          </w:tcPr>
          <w:p w:rsidR="6A4EA6DD" w:rsidP="085FABFE" w:rsidRDefault="6A4EA6DD" w14:paraId="53355EB3" w14:textId="2791997E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5 (Mais Alta)</w:t>
            </w:r>
          </w:p>
        </w:tc>
        <w:tc>
          <w:tcPr>
            <w:tcW w:w="2940" w:type="dxa"/>
            <w:tcMar/>
            <w:vAlign w:val="center"/>
          </w:tcPr>
          <w:p w:rsidR="6A4EA6DD" w:rsidP="085FABFE" w:rsidRDefault="6A4EA6DD" w14:paraId="68CF1132" w14:textId="6E38FCD7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6.237 a 92.397</w:t>
            </w:r>
          </w:p>
        </w:tc>
        <w:tc>
          <w:tcPr>
            <w:tcW w:w="2265" w:type="dxa"/>
            <w:tcMar/>
            <w:vAlign w:val="center"/>
          </w:tcPr>
          <w:p w:rsidR="6A4EA6DD" w:rsidP="085FABFE" w:rsidRDefault="6A4EA6DD" w14:paraId="7F4605D3" w14:textId="4D8097DD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169</w:t>
            </w:r>
          </w:p>
        </w:tc>
        <w:tc>
          <w:tcPr>
            <w:tcW w:w="2401" w:type="dxa"/>
            <w:tcMar/>
            <w:vAlign w:val="center"/>
          </w:tcPr>
          <w:p w:rsidR="6A4EA6DD" w:rsidP="085FABFE" w:rsidRDefault="6A4EA6DD" w14:paraId="25B5FFE3" w14:textId="25762AB6">
            <w:pPr>
              <w:pStyle w:val="Normal"/>
              <w:bidi w:val="0"/>
              <w:jc w:val="center"/>
            </w:pPr>
            <w:r w:rsidRPr="085FABFE" w:rsidR="6A4EA6DD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Polos econômicos, indústria, comércio</w:t>
            </w:r>
          </w:p>
        </w:tc>
      </w:tr>
    </w:tbl>
    <w:p w:rsidR="31898954" w:rsidP="085FABFE" w:rsidRDefault="31898954" w14:paraId="0464DBFC" w14:textId="61BB1F64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7F0BA4D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8.3 Análise de Disparidades </w:t>
      </w:r>
    </w:p>
    <w:p w:rsidR="31898954" w:rsidP="085FABFE" w:rsidRDefault="31898954" w14:paraId="083EAFE4" w14:textId="6562B360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7F0BA4D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Regionais Regiões de Maior Receita per Capita (Classe 5): </w:t>
      </w:r>
    </w:p>
    <w:p w:rsidR="31898954" w:rsidP="085FABFE" w:rsidRDefault="31898954" w14:paraId="164B500E" w14:textId="6E21418C">
      <w:pPr>
        <w:pStyle w:val="ListParagraph"/>
        <w:numPr>
          <w:ilvl w:val="0"/>
          <w:numId w:val="8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7F0BA4D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Quadrilátero Ferrífero: Municípios como Itabira, Congonhas, Ouro Preto beneficiam-se da mineração e arrecadam CFEM (Compensação Financeira pela Exploração de Recursos Minerais) </w:t>
      </w:r>
    </w:p>
    <w:p w:rsidR="31898954" w:rsidP="085FABFE" w:rsidRDefault="31898954" w14:paraId="380D592A" w14:textId="06A5F71D">
      <w:pPr>
        <w:pStyle w:val="ListParagraph"/>
        <w:numPr>
          <w:ilvl w:val="0"/>
          <w:numId w:val="8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7F0BA4D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Triângulo Mineiro: Cidades como Uberlândia e Araxá, com forte atividade comercial e industrial </w:t>
      </w:r>
    </w:p>
    <w:p w:rsidR="31898954" w:rsidP="085FABFE" w:rsidRDefault="31898954" w14:paraId="18F2D72B" w14:textId="32F92557">
      <w:pPr>
        <w:pStyle w:val="ListParagraph"/>
        <w:numPr>
          <w:ilvl w:val="0"/>
          <w:numId w:val="8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7F0BA4D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Região Metropolitana de Belo Horizonte: Betim, Contagem, Sete Lagoas, com indústria diversificada </w:t>
      </w:r>
    </w:p>
    <w:p w:rsidR="31898954" w:rsidP="085FABFE" w:rsidRDefault="31898954" w14:paraId="10720B4B" w14:textId="59D254B7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7F0BA4D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Regiões de Menor Receita per Capita (Classe 1): </w:t>
      </w:r>
    </w:p>
    <w:p w:rsidR="31898954" w:rsidP="085FABFE" w:rsidRDefault="31898954" w14:paraId="0E775167" w14:textId="5DC74026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7F0BA4D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Norte de Minas: Municípios como Montes Claros e região, com economia baseada em agricultura de subsistência </w:t>
      </w:r>
    </w:p>
    <w:p w:rsidR="31898954" w:rsidP="085FABFE" w:rsidRDefault="31898954" w14:paraId="451AE37E" w14:textId="632D4069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7F0BA4D5">
        <w:rPr>
          <w:rFonts w:ascii="Aptos" w:hAnsi="Aptos" w:eastAsia="Aptos" w:cs="Aptos"/>
          <w:noProof w:val="0"/>
          <w:sz w:val="24"/>
          <w:szCs w:val="24"/>
          <w:lang w:val="pt-BR"/>
        </w:rPr>
        <w:t>Vale do Jequitinhonha: Região historicamente deprimida, com baixa atividade econômica formal</w:t>
      </w:r>
    </w:p>
    <w:p w:rsidR="31898954" w:rsidP="085FABFE" w:rsidRDefault="31898954" w14:paraId="22954201" w14:textId="6B5BBED9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7F0BA4D5">
        <w:rPr>
          <w:rFonts w:ascii="Aptos" w:hAnsi="Aptos" w:eastAsia="Aptos" w:cs="Aptos"/>
          <w:noProof w:val="0"/>
          <w:sz w:val="24"/>
          <w:szCs w:val="24"/>
          <w:lang w:val="pt-BR"/>
        </w:rPr>
        <w:t>Vale do Mucuri: Municípios pequenos, isolados, com pouca infraestrutura</w:t>
      </w:r>
    </w:p>
    <w:p w:rsidR="31898954" w:rsidP="085FABFE" w:rsidRDefault="31898954" w14:paraId="69F85035" w14:textId="0E1AEFBF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8.4 Localização de Betim e Governador Valadares </w:t>
      </w:r>
    </w:p>
    <w:p w:rsidR="31898954" w:rsidP="085FABFE" w:rsidRDefault="31898954" w14:paraId="6FBEF27B" w14:textId="58B59B0F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Betim/MG: </w:t>
      </w:r>
    </w:p>
    <w:p w:rsidR="31898954" w:rsidP="085FABFE" w:rsidRDefault="31898954" w14:paraId="7973D26F" w14:textId="74B94CEC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Localização: Região Metropolitana de Belo Horizonte (Classe 4-5) </w:t>
      </w:r>
    </w:p>
    <w:p w:rsidR="31898954" w:rsidP="085FABFE" w:rsidRDefault="31898954" w14:paraId="4311873D" w14:textId="60466E22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Receita per Capita 2023: R$ 6.562 </w:t>
      </w:r>
    </w:p>
    <w:p w:rsidR="31898954" w:rsidP="085FABFE" w:rsidRDefault="31898954" w14:paraId="49577521" w14:textId="481F2125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Características: Polo industrial, presença de grandes empresas (Fiat, etc.) </w:t>
      </w:r>
    </w:p>
    <w:p w:rsidR="31898954" w:rsidP="085FABFE" w:rsidRDefault="31898954" w14:paraId="5C337771" w14:textId="35F2A508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Classificação: Acima da média estadual </w:t>
      </w:r>
    </w:p>
    <w:p w:rsidR="31898954" w:rsidP="085FABFE" w:rsidRDefault="31898954" w14:paraId="40DFED4F" w14:textId="5132036D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Governador Valadares/MG: </w:t>
      </w:r>
    </w:p>
    <w:p w:rsidR="31898954" w:rsidP="085FABFE" w:rsidRDefault="31898954" w14:paraId="480D628A" w14:textId="2A370D51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Localização: Vale do Rio Doce (Classe 3-4) </w:t>
      </w:r>
    </w:p>
    <w:p w:rsidR="31898954" w:rsidP="085FABFE" w:rsidRDefault="31898954" w14:paraId="0D75BEDF" w14:textId="0CF80607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Receita per Capita 2023: R$ 5.481 </w:t>
      </w:r>
    </w:p>
    <w:p w:rsidR="31898954" w:rsidP="085FABFE" w:rsidRDefault="31898954" w14:paraId="3613E05C" w14:textId="2D8F73F9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Características: Polo regional, comércio e serviços </w:t>
      </w:r>
    </w:p>
    <w:p w:rsidR="31898954" w:rsidP="085FABFE" w:rsidRDefault="31898954" w14:paraId="164CFB68" w14:textId="0805EC62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85FABFE" w:rsidR="483E9C3A">
        <w:rPr>
          <w:rFonts w:ascii="Aptos" w:hAnsi="Aptos" w:eastAsia="Aptos" w:cs="Aptos"/>
          <w:noProof w:val="0"/>
          <w:sz w:val="24"/>
          <w:szCs w:val="24"/>
          <w:lang w:val="pt-BR"/>
        </w:rPr>
        <w:t>Classificação: Próximo à média estadual</w:t>
      </w:r>
    </w:p>
    <w:p w:rsidR="31898954" w:rsidP="085FABFE" w:rsidRDefault="31898954" w14:paraId="5FBF1014" w14:textId="29A7F93F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66DDB9BB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8.5 Implicações para Políticas Públicas </w:t>
      </w:r>
    </w:p>
    <w:p w:rsidR="31898954" w:rsidP="085FABFE" w:rsidRDefault="31898954" w14:paraId="72C0AA01" w14:textId="7C116D24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66DDB9BB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1. Necessidade de Equalização Fiscal: O FPM (Fundo de Participação dos Municípios) é essencial para municípios de baixa receita per capita </w:t>
      </w:r>
    </w:p>
    <w:p w:rsidR="31898954" w:rsidP="085FABFE" w:rsidRDefault="31898954" w14:paraId="74374AB7" w14:textId="6C3FB1DA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66DDB9BB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2. Desenvolvimento Regional: Políticas de atração de investimentos são críticas para regiões deprimidas </w:t>
      </w:r>
    </w:p>
    <w:p w:rsidR="31898954" w:rsidP="085FABFE" w:rsidRDefault="31898954" w14:paraId="2000760C" w14:textId="17B1A9C9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66DDB9BB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3. Sustentabilidade Fiscal: Municípios de alta receita per capita têm maior capacidade de investimento e inovação </w:t>
      </w:r>
    </w:p>
    <w:p w:rsidR="31898954" w:rsidP="085FABFE" w:rsidRDefault="31898954" w14:paraId="13649D9E" w14:textId="65A06C73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66DDB9BB">
        <w:rPr>
          <w:rFonts w:ascii="Aptos" w:hAnsi="Aptos" w:eastAsia="Aptos" w:cs="Aptos"/>
          <w:noProof w:val="0"/>
          <w:sz w:val="24"/>
          <w:szCs w:val="24"/>
          <w:lang w:val="pt-BR"/>
        </w:rPr>
        <w:t>4. Redução de Desigualdades: A disparidade de 92.397 / 261 = 354x entre o município mais rico e mais pobre é preocupante</w:t>
      </w:r>
    </w:p>
    <w:p w:rsidR="31898954" w:rsidP="085FABFE" w:rsidRDefault="31898954" w14:paraId="7DBFD56E" w14:textId="7E88C827">
      <w:pPr>
        <w:pStyle w:val="Heading4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85FABFE" w:rsidR="3D485376">
        <w:rPr>
          <w:noProof w:val="0"/>
          <w:lang w:val="pt-BR"/>
        </w:rPr>
        <w:t xml:space="preserve">9) </w:t>
      </w:r>
      <w:r w:rsidRPr="085FABFE" w:rsidR="1D797C6F">
        <w:rPr>
          <w:noProof w:val="0"/>
          <w:lang w:val="pt-BR"/>
        </w:rPr>
        <w:t>Análise</w:t>
      </w:r>
      <w:r w:rsidRPr="085FABFE" w:rsidR="3D485376">
        <w:rPr>
          <w:noProof w:val="0"/>
          <w:lang w:val="pt-BR"/>
        </w:rPr>
        <w:t xml:space="preserve"> uma falha de mercado e como o gasto público atua (com dados reais).</w:t>
      </w:r>
    </w:p>
    <w:p w:rsidR="31898954" w:rsidP="085FABFE" w:rsidRDefault="31898954" w14:paraId="7F058E6E" w14:textId="079DC573">
      <w:pPr>
        <w:spacing w:before="240" w:beforeAutospacing="off" w:after="240" w:afterAutospacing="off"/>
        <w:jc w:val="left"/>
      </w:pPr>
      <w:r w:rsidRPr="085FABFE" w:rsidR="647EBE9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Intervenção Estatal e Falhas de Mercado</w:t>
      </w:r>
    </w:p>
    <w:p w:rsidR="31898954" w:rsidP="085FABFE" w:rsidRDefault="31898954" w14:paraId="243409AE" w14:textId="663EE8CE">
      <w:pPr>
        <w:spacing w:before="240" w:beforeAutospacing="off" w:after="240" w:afterAutospacing="off"/>
        <w:jc w:val="left"/>
      </w:pPr>
      <w:r w:rsidRPr="085FABFE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Uma das falhas de mercado mais clássicas estudadas nas Finanças Públicas é a provisão subótima de "Bens Públicos" ou "Bens Meritórios" (Giambiagi &amp; Além, 2011). O mercado privado, movido pela lógica do lucro e do princípio da exclusão (quem não paga não consome), falha em fornecer acesso universal à educação e à saúde, áreas que geram imensas </w:t>
      </w:r>
      <w:r w:rsidRPr="085FABFE" w:rsidR="647EBE9C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externalidades positivas</w:t>
      </w:r>
      <w:r w:rsidRPr="085FABFE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para o desenvolvimento do estado-nação.</w:t>
      </w:r>
    </w:p>
    <w:p w:rsidR="31898954" w:rsidP="085FABFE" w:rsidRDefault="31898954" w14:paraId="6909B2C1" w14:textId="0FEE3B50">
      <w:pPr>
        <w:spacing w:before="240" w:beforeAutospacing="off" w:after="240" w:afterAutospacing="off"/>
        <w:jc w:val="left"/>
      </w:pPr>
      <w:r w:rsidRPr="085FABFE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Nos entes federativos analisados, esta falha de mercado justifica e obriga a uma massiva intervenção alocativa através do Gasto Público. Ao analisarmos a composição das despesas liquidadas de </w:t>
      </w:r>
      <w:r w:rsidRPr="085FABFE" w:rsidR="647EBE9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Governador Valadares</w:t>
      </w:r>
      <w:r w:rsidRPr="085FABFE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(dados do Siconfi), constata-se que o município destina anualmente montantes vultosos para a manutenção do Sistema Único de Saúde (SUS) e da rede de ensino fundamental (financiada via FUNDEB).</w:t>
      </w:r>
    </w:p>
    <w:p w:rsidR="31898954" w:rsidP="085FABFE" w:rsidRDefault="31898954" w14:paraId="1E986D27" w14:textId="1239F50D">
      <w:pPr>
        <w:spacing w:before="240" w:beforeAutospacing="off" w:after="240" w:afterAutospacing="off"/>
        <w:jc w:val="left"/>
      </w:pPr>
      <w:r w:rsidRPr="085FABFE" w:rsidR="647EBE9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Análise Crítica:</w:t>
      </w:r>
      <w:r w:rsidRPr="085FABFE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 acordo com a teoria da Administração Pública Gerencial (Bresser-Pereira, 2017), ao atuar na correção desta falha de mercado prestando serviços sociais, o Estado não deve atuar apenas como um mero repassador de verbas. O grande volume de recursos públicos injetados em Valadares para garantir bens meritórios deve ser gerido sob estrita </w:t>
      </w:r>
      <w:r w:rsidRPr="085FABFE" w:rsidR="647EBE9C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085FABFE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 resultados. O Estado justifica a sua legitimidade de tributar a sociedade na exata medida em que consegue corrigir a ineficiência do mercado privado, assegurando equidade e reduzindo a pobreza por meio destes gastos essenciais.</w:t>
      </w:r>
    </w:p>
    <w:p w:rsidR="31898954" w:rsidP="085FABFE" w:rsidRDefault="31898954" w14:paraId="42E843C0" w14:textId="7B778A65">
      <w:pPr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085FABFE" w:rsidRDefault="31898954" w14:paraId="6CAA8D4C" w14:textId="12ABDC30">
      <w:pPr>
        <w:pStyle w:val="Heading4"/>
        <w:jc w:val="left"/>
      </w:pPr>
      <w:r w:rsidRPr="085FABFE" w:rsidR="3D485376">
        <w:rPr>
          <w:noProof w:val="0"/>
          <w:lang w:val="pt-BR"/>
        </w:rPr>
        <w:t>10) Elabore diagnóstico fiscal integrado com base em todos os dados analisados, por meio de um painel disponibilizado no Power BI ou ferramentas similares.</w:t>
      </w:r>
    </w:p>
    <w:p w:rsidR="31898954" w:rsidP="085FABFE" w:rsidRDefault="31898954" w14:paraId="4060ADDA" w14:textId="35801A04">
      <w:pPr>
        <w:pStyle w:val="Normal"/>
        <w:jc w:val="left"/>
      </w:pPr>
      <w:r w:rsidRPr="085FABFE" w:rsidR="07860BD5">
        <w:rPr>
          <w:rFonts w:ascii="Aptos" w:hAnsi="Aptos" w:eastAsia="Aptos" w:cs="Aptos"/>
          <w:noProof w:val="0"/>
          <w:sz w:val="24"/>
          <w:szCs w:val="24"/>
          <w:lang w:val="pt-BR"/>
        </w:rPr>
        <w:t>Painel de Indicadores e Diagnóstico Fiscal Integrado</w:t>
      </w:r>
    </w:p>
    <w:p w:rsidR="31898954" w:rsidP="085FABFE" w:rsidRDefault="31898954" w14:paraId="62FEF57F" w14:textId="42DEE058">
      <w:pPr>
        <w:pStyle w:val="Normal"/>
        <w:spacing w:before="0" w:beforeAutospacing="off" w:after="240" w:afterAutospacing="off"/>
        <w:jc w:val="left"/>
      </w:pPr>
      <w:r w:rsidR="6B49BEFD">
        <w:drawing>
          <wp:inline wp14:editId="08C7B02A" wp14:anchorId="287B0767">
            <wp:extent cx="5762625" cy="1724025"/>
            <wp:effectExtent l="0" t="0" r="0" b="0"/>
            <wp:docPr id="18987227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8722740" name="Picture 1898722740"/>
                    <pic:cNvPicPr/>
                  </pic:nvPicPr>
                  <pic:blipFill>
                    <a:blip xmlns:r="http://schemas.openxmlformats.org/officeDocument/2006/relationships" r:embed="rId1874879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085FABFE" w:rsidRDefault="31898954" w14:paraId="5E0DB514" w14:textId="117841D8">
      <w:pPr>
        <w:spacing w:before="0" w:beforeAutospacing="off" w:after="240" w:afterAutospacing="off"/>
        <w:jc w:val="center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</w:pPr>
      <w:hyperlink r:id="R388d25925c3d4450">
        <w:r w:rsidRPr="085FABFE" w:rsidR="2DFB7781">
          <w:rPr>
            <w:rStyle w:val="Hyperlink"/>
            <w:rFonts w:ascii="Aptos" w:hAnsi="Aptos" w:eastAsia="Aptos" w:cs="Aptos"/>
            <w:i w:val="1"/>
            <w:iCs w:val="1"/>
            <w:noProof w:val="0"/>
            <w:sz w:val="24"/>
            <w:szCs w:val="24"/>
            <w:lang w:val="pt-BR"/>
          </w:rPr>
          <w:t>LINK DASHBORD COMPLETO</w:t>
        </w:r>
      </w:hyperlink>
    </w:p>
    <w:p w:rsidR="31898954" w:rsidP="085FABFE" w:rsidRDefault="31898954" w14:paraId="561072A3" w14:textId="23589D78">
      <w:pPr>
        <w:spacing w:before="0" w:beforeAutospacing="off" w:after="240" w:afterAutospacing="off"/>
        <w:jc w:val="left"/>
      </w:pP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A consolidação dos indicadores e modelos econométricos desenvolvidos nesta análise permite formular um diagnóstico fiscal estrutural, evidenciando as profundas assimetrias na federação brasileira e a necessidade de aprofundamento das reformas gerenciais.</w:t>
      </w:r>
    </w:p>
    <w:p w:rsidR="31898954" w:rsidP="085FABFE" w:rsidRDefault="31898954" w14:paraId="32243F74" w14:textId="073AE4D0">
      <w:pPr>
        <w:spacing w:before="0" w:beforeAutospacing="off" w:after="240" w:afterAutospacing="off"/>
        <w:jc w:val="left"/>
      </w:pP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A partir de uma perspectiva "top-</w:t>
      </w: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down</w:t>
      </w: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", verificou-se que o pacto federativo impõe dinâmicas de financiamento radicalmente diferentes para entes de um mesmo Estado-Nação (Bresser-Pereira, 2017). Governador Valadares, com uma matriz focada em serviços, atua como um "município rebocado": o modelo de regressão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=0,80</m:t>
          </m:r>
        </m:oMath>
      </m:oMathPara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) atesta sua submissão quase total às flutuações macroeconômicas. Sua autonomia financeira é asfixiada pela "ilusão fiscal" gerada pelas transferências constitucionais correntes (Biderman &amp; Arvate, 2004), o que enfraquece a </w:t>
      </w:r>
      <w:r w:rsidRPr="085FABFE" w:rsidR="6B67674D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local.</w:t>
      </w:r>
    </w:p>
    <w:p w:rsidR="31898954" w:rsidP="085FABFE" w:rsidRDefault="31898954" w14:paraId="6CB86666" w14:textId="2C653253">
      <w:pPr>
        <w:spacing w:before="0" w:beforeAutospacing="off" w:after="240" w:afterAutospacing="off"/>
        <w:jc w:val="left"/>
      </w:pP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Em contraste, Betim apresenta características de "município indutor". A sua robusta arrecadação tributária própria e a elasticidade mais isolada frente ao PIB geral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=0,38</m:t>
          </m:r>
        </m:oMath>
      </m:oMathPara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) demonstram uma resiliência fiscal proporcionada por uma economia complexa de base industrial. Contudo, a modelação da Curva de </w:t>
      </w: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Laffer</w:t>
      </w: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=0,68</m:t>
          </m:r>
        </m:oMath>
      </m:oMathPara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) comprova que essa capacidade extrativa encontra limites concretos: a gestão em Betim precisa focar-se na modicidade tributária para não afugentar a base de capitais que sustenta o seu modelo.</w:t>
      </w:r>
    </w:p>
    <w:p w:rsidR="31898954" w:rsidP="085FABFE" w:rsidRDefault="31898954" w14:paraId="78F5C6D1" w14:textId="6FCC5E1F">
      <w:pPr>
        <w:spacing w:before="0" w:beforeAutospacing="off" w:after="240" w:afterAutospacing="off"/>
        <w:jc w:val="left"/>
      </w:pPr>
      <w:r w:rsidRPr="085FABFE" w:rsidR="6B67674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Conclusão de Governança Pública:</w:t>
      </w:r>
    </w:p>
    <w:p w:rsidR="31898954" w:rsidP="085FABFE" w:rsidRDefault="31898954" w14:paraId="100F153F" w14:textId="2CAFA8A8">
      <w:pPr>
        <w:spacing w:before="0" w:beforeAutospacing="off" w:after="240" w:afterAutospacing="off"/>
        <w:jc w:val="left"/>
      </w:pP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O dado mais alarmante deste diagnóstico recai sobre a qualidade da despesa pública. A regressão entre os gastos correntes reais de Betim e os seus resultados no Índice de Desenvolvimento da Educação Básica revelou uma correlação quase nula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=0,08</m:t>
          </m:r>
        </m:oMath>
      </m:oMathPara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). Como fundamentado por Anna Maria Campos (1990) e pelo PDRAE (1995), o Estado brasileiro consolidou a legalidade contábil, mas falha na "</w:t>
      </w: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accountability</w:t>
      </w: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 resultados".</w:t>
      </w:r>
    </w:p>
    <w:p w:rsidR="31898954" w:rsidP="085FABFE" w:rsidRDefault="31898954" w14:paraId="30CB0846" w14:textId="5A0259AA">
      <w:pPr>
        <w:spacing w:before="0" w:beforeAutospacing="off" w:after="240" w:afterAutospacing="off"/>
        <w:jc w:val="left"/>
      </w:pP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Tanto na Indonésia analisada na Questão 1 e 2, quanto no</w:t>
      </w: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lest</w:t>
      </w:r>
      <w:r w:rsidRPr="085FABFE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e ou no centro de Minas Gerais, o desafio contemporâneo das Finanças Públicas não reside apenas na busca matemática pelo superávit. A urgência concentra-se na transição definitiva para a Administração Pública Gerencial: o foco deve migrar do mero contingenciamento burocrático (saúde fiscal aparente) para a efetividade real das políticas públicas, assegurando que o dinheiro arrecadado — seja ele oriundo do esforço tributário local ou de repasses do FPM — se converta de fato na indução de desenvolvimento e correção estrutural das falhas de mercado.</w:t>
      </w:r>
    </w:p>
    <w:p w:rsidR="31898954" w:rsidP="085FABFE" w:rsidRDefault="31898954" w14:paraId="412E0203" w14:textId="49B4BA76">
      <w:pPr>
        <w:jc w:val="left"/>
      </w:pPr>
    </w:p>
    <w:p w:rsidR="31898954" w:rsidP="085FABFE" w:rsidRDefault="31898954" w14:paraId="66FF78FC" w14:textId="55CF0A36">
      <w:pPr>
        <w:jc w:val="left"/>
      </w:pPr>
      <w:r>
        <w:br w:type="page"/>
      </w:r>
    </w:p>
    <w:p w:rsidR="1D3FAD54" w:rsidP="085FABFE" w:rsidRDefault="1D3FAD54" w14:paraId="24327A28" w14:textId="586DB98A">
      <w:pPr>
        <w:pStyle w:val="Heading4"/>
        <w:jc w:val="left"/>
      </w:pPr>
      <w:r w:rsidRPr="085FABFE" w:rsidR="1D3FAD54">
        <w:rPr>
          <w:noProof w:val="0"/>
          <w:lang w:val="pt-BR"/>
        </w:rPr>
        <w:t>Referências Bibliográficas</w:t>
      </w:r>
    </w:p>
    <w:p w:rsidR="1D3FAD54" w:rsidP="085FABFE" w:rsidRDefault="1D3FAD54" w14:paraId="5B027FEC" w14:textId="6BE3004D">
      <w:pPr>
        <w:spacing w:before="240" w:beforeAutospacing="off" w:after="240" w:afterAutospacing="off"/>
        <w:jc w:val="left"/>
      </w:pP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BIDERMAN, Ciro; ARVATE, Paulo (Org.). </w:t>
      </w:r>
      <w:r w:rsidRPr="085FABFE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Economia do Setor Público no Brasil</w:t>
      </w: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. Rio de Janeiro: Elsevier/Campus, 2004.</w:t>
      </w:r>
    </w:p>
    <w:p w:rsidR="1D3FAD54" w:rsidP="085FABFE" w:rsidRDefault="1D3FAD54" w14:paraId="176F1448" w14:textId="05C4DC4F">
      <w:pPr>
        <w:spacing w:before="240" w:beforeAutospacing="off" w:after="240" w:afterAutospacing="off"/>
        <w:jc w:val="left"/>
      </w:pP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BRASIL. Presidência da República. </w:t>
      </w:r>
      <w:r w:rsidRPr="085FABFE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Plano Diretor da Reforma do Aparelho do Estado</w:t>
      </w: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. Brasília: Presidência da República, Câmara da Reforma do Estado, 1995.</w:t>
      </w:r>
    </w:p>
    <w:p w:rsidR="1D3FAD54" w:rsidP="085FABFE" w:rsidRDefault="1D3FAD54" w14:paraId="64F375CB" w14:textId="479F63C5">
      <w:pPr>
        <w:spacing w:before="240" w:beforeAutospacing="off" w:after="240" w:afterAutospacing="off"/>
        <w:jc w:val="left"/>
      </w:pP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BRESSER-PEREIRA, Luiz Carlos. Estado, Estado-nação e formas de intermediação política. </w:t>
      </w:r>
      <w:r w:rsidRPr="085FABFE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Lua Nova</w:t>
      </w: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, São Paulo, n. 100, p. 155-185, 2017.</w:t>
      </w:r>
    </w:p>
    <w:p w:rsidR="1D3FAD54" w:rsidP="085FABFE" w:rsidRDefault="1D3FAD54" w14:paraId="42DA541A" w14:textId="7F733E4E">
      <w:pPr>
        <w:spacing w:before="240" w:beforeAutospacing="off" w:after="240" w:afterAutospacing="off"/>
        <w:jc w:val="left"/>
      </w:pP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CAMPOS, Anna Maria. Accountability: quando poderemos traduzi-la para o português? </w:t>
      </w:r>
      <w:r w:rsidRPr="085FABFE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Revista de Administração Pública</w:t>
      </w: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, Rio de Janeiro, v. 24, n. 2, p. 30-50, fev./abr. 1990.</w:t>
      </w:r>
    </w:p>
    <w:p w:rsidR="1D3FAD54" w:rsidP="085FABFE" w:rsidRDefault="1D3FAD54" w14:paraId="19432377" w14:textId="23F103AA">
      <w:pPr>
        <w:spacing w:before="240" w:beforeAutospacing="off" w:after="240" w:afterAutospacing="off"/>
        <w:jc w:val="left"/>
      </w:pP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GIAMBIAGI, Fabio; ALÉM, Ana Cláudia. </w:t>
      </w:r>
      <w:r w:rsidRPr="085FABFE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Finanças Públicas: Teoria e Prática no Brasil</w:t>
      </w: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. 4. ed. Rio de Janeiro: Elsevier, 2011.</w:t>
      </w:r>
    </w:p>
    <w:p w:rsidR="1D3FAD54" w:rsidP="085FABFE" w:rsidRDefault="1D3FAD54" w14:paraId="7544B02C" w14:textId="792B53F0">
      <w:pPr>
        <w:spacing w:before="240" w:beforeAutospacing="off" w:after="240" w:afterAutospacing="off"/>
        <w:jc w:val="left"/>
      </w:pP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LAFFER, Arthur. The Laffer Curve: Past, Present, and Future. </w:t>
      </w:r>
      <w:r w:rsidRPr="085FABFE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Heritage Foundation Backgrounder</w:t>
      </w: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, n. 1765, 2004.</w:t>
      </w:r>
    </w:p>
    <w:p w:rsidR="1D3FAD54" w:rsidP="085FABFE" w:rsidRDefault="1D3FAD54" w14:paraId="52759D66" w14:textId="01FFE483">
      <w:pPr>
        <w:spacing w:before="240" w:beforeAutospacing="off" w:after="240" w:afterAutospacing="off"/>
        <w:jc w:val="left"/>
      </w:pP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MENEZES, Marcos Vinicius. </w:t>
      </w:r>
      <w:r w:rsidRPr="085FABFE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Arquivos e base de dados do trabalho da P1 de Finanças Públicas - Matrícula 241021847</w:t>
      </w: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. Repositório de dados no GitHub. Disponível em: </w:t>
      </w:r>
      <w:hyperlink r:id="Rd7b47cd986534ec4">
        <w:r w:rsidRPr="085FABFE" w:rsidR="1D3FAD54">
          <w:rPr>
            <w:rStyle w:val="Hyperlink"/>
            <w:rFonts w:ascii="Aptos" w:hAnsi="Aptos" w:eastAsia="Aptos" w:cs="Aptos"/>
            <w:noProof w:val="0"/>
            <w:sz w:val="24"/>
            <w:szCs w:val="24"/>
            <w:lang w:val="pt-BR"/>
          </w:rPr>
          <w:t>https://github.com/marcosviniciusmenezes500-commits/Financas_Publicas_P1_241021847</w:t>
        </w:r>
      </w:hyperlink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1D3FAD54" w:rsidP="085FABFE" w:rsidRDefault="1D3FAD54" w14:paraId="2F5409E4" w14:textId="104BC019">
      <w:pPr>
        <w:spacing w:before="240" w:beforeAutospacing="off" w:after="240" w:afterAutospacing="off"/>
        <w:jc w:val="left"/>
      </w:pP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PINHO, José Antonio Gomes de; SACRAMENTO, Ana Rita Silva. Accountability: já podemos traduzi-la para o português? </w:t>
      </w:r>
      <w:r w:rsidRPr="085FABFE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Revista de Administração Pública</w:t>
      </w:r>
      <w:r w:rsidRPr="085FABFE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, Rio de Janeiro, v. 43, n. 6, p. 1343-1368, nov./dez. 2009.</w:t>
      </w:r>
    </w:p>
    <w:p w:rsidR="0B216228" w:rsidP="085FABFE" w:rsidRDefault="0B216228" w14:paraId="26FC41FE" w14:textId="40B67E4D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0B21622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SECRETARIA DO TESOURO NACIONAL (STN). Siconfi: Sistema de Informações Contábeis e Fiscais do Setor Público Brasileiro (FINBRA 2014-2023). Disponível em: </w:t>
      </w:r>
      <w:hyperlink r:id="R8e15964995dd4651">
        <w:r w:rsidRPr="085FABFE" w:rsidR="0B216228">
          <w:rPr>
            <w:rStyle w:val="Hyperlink"/>
            <w:rFonts w:ascii="Aptos" w:hAnsi="Aptos" w:eastAsia="Aptos" w:cs="Aptos"/>
            <w:noProof w:val="0"/>
            <w:sz w:val="24"/>
            <w:szCs w:val="24"/>
            <w:lang w:val="pt-BR"/>
          </w:rPr>
          <w:t>https://siconfi.tesouro.gov.br/</w:t>
        </w:r>
      </w:hyperlink>
      <w:r w:rsidRPr="085FABFE" w:rsidR="0B216228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0B216228" w:rsidP="085FABFE" w:rsidRDefault="0B216228" w14:paraId="3F49F443" w14:textId="492E0454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0B21622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WORLD BANK. </w:t>
      </w:r>
      <w:r w:rsidRPr="085FABFE" w:rsidR="0B216228">
        <w:rPr>
          <w:rFonts w:ascii="Aptos" w:hAnsi="Aptos" w:eastAsia="Aptos" w:cs="Aptos"/>
          <w:noProof w:val="0"/>
          <w:sz w:val="24"/>
          <w:szCs w:val="24"/>
          <w:lang w:val="pt-BR"/>
        </w:rPr>
        <w:t>Indonesia</w:t>
      </w:r>
      <w:r w:rsidRPr="085FABFE" w:rsidR="0B21622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Economic Prospect.</w:t>
      </w:r>
    </w:p>
    <w:p w:rsidR="0B216228" w:rsidP="085FABFE" w:rsidRDefault="0B216228" w14:paraId="28348862" w14:textId="320EEA92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085FABFE" w:rsidR="0B216228">
        <w:rPr>
          <w:rFonts w:ascii="Aptos" w:hAnsi="Aptos" w:eastAsia="Aptos" w:cs="Aptos"/>
          <w:noProof w:val="0"/>
          <w:sz w:val="24"/>
          <w:szCs w:val="24"/>
          <w:lang w:val="pt-BR"/>
        </w:rPr>
        <w:t>INEP. Indicadores Educacionais (IDEB). Disponível em: https://www.gov.br/inep/.</w:t>
      </w:r>
    </w:p>
    <w:p w:rsidR="085FABFE" w:rsidP="085FABFE" w:rsidRDefault="085FABFE" w14:paraId="10E2BC7E" w14:textId="2ABD275E">
      <w:pPr>
        <w:pStyle w:val="Normal"/>
        <w:spacing w:before="240" w:beforeAutospacing="off" w:after="240" w:afterAutospacing="off"/>
        <w:jc w:val="left"/>
        <w:rPr>
          <w:noProof w:val="0"/>
          <w:lang w:val="pt-BR"/>
        </w:rPr>
      </w:pPr>
    </w:p>
    <w:p w:rsidR="085FABFE" w:rsidP="085FABFE" w:rsidRDefault="085FABFE" w14:paraId="53FA5355" w14:textId="59DD1308">
      <w:pPr>
        <w:pStyle w:val="Normal"/>
        <w:spacing w:before="240" w:beforeAutospacing="off" w:after="240" w:afterAutospacing="off"/>
        <w:ind w:lef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085FABFE" w:rsidRDefault="31898954" w14:paraId="6DFEC0E0" w14:textId="24DD51AA">
      <w:pPr>
        <w:pStyle w:val="Normal"/>
        <w:jc w:val="left"/>
      </w:pPr>
    </w:p>
    <w:sectPr>
      <w:pgSz w:w="11906" w:h="16838" w:orient="portrait"/>
      <w:pgMar w:top="1701" w:right="1134" w:bottom="1134" w:left="1701" w:header="720" w:footer="720" w:gutter="0"/>
      <w:cols w:space="720"/>
      <w:docGrid w:linePitch="360"/>
      <w:footerReference w:type="default" r:id="Rde576ec0fb3e444c"/>
      <w:footerReference w:type="first" r:id="R6cd49a5332ce4ab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85FABFE" w:rsidTr="085FABFE" w14:paraId="3F248B43">
      <w:trPr>
        <w:trHeight w:val="300"/>
      </w:trPr>
      <w:tc>
        <w:tcPr>
          <w:tcW w:w="3005" w:type="dxa"/>
          <w:tcMar/>
        </w:tcPr>
        <w:p w:rsidR="085FABFE" w:rsidP="085FABFE" w:rsidRDefault="085FABFE" w14:paraId="044D8765" w14:textId="300111C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85FABFE" w:rsidP="085FABFE" w:rsidRDefault="085FABFE" w14:paraId="3C6C1168" w14:textId="16785D8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85FABFE" w:rsidP="085FABFE" w:rsidRDefault="085FABFE" w14:paraId="0BCE6A84" w14:textId="3AB34ECA">
          <w:pPr>
            <w:pStyle w:val="Header"/>
            <w:bidi w:val="0"/>
            <w:ind w:right="-115"/>
            <w:jc w:val="right"/>
          </w:pPr>
        </w:p>
      </w:tc>
    </w:tr>
  </w:tbl>
  <w:p w:rsidR="085FABFE" w:rsidP="085FABFE" w:rsidRDefault="085FABFE" w14:paraId="0B8B0DF6" w14:textId="760BBFB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85FABFE" w:rsidTr="085FABFE" w14:paraId="1BB8990A">
      <w:trPr>
        <w:trHeight w:val="300"/>
      </w:trPr>
      <w:tc>
        <w:tcPr>
          <w:tcW w:w="3005" w:type="dxa"/>
          <w:tcMar/>
        </w:tcPr>
        <w:p w:rsidR="085FABFE" w:rsidP="085FABFE" w:rsidRDefault="085FABFE" w14:paraId="06863290" w14:textId="47AFB03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85FABFE" w:rsidP="085FABFE" w:rsidRDefault="085FABFE" w14:paraId="3FE7CA60" w14:textId="1C786DD8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85FABFE" w:rsidP="085FABFE" w:rsidRDefault="085FABFE" w14:paraId="3CA61CCD" w14:textId="4CC5B95A">
          <w:pPr>
            <w:pStyle w:val="Header"/>
            <w:bidi w:val="0"/>
            <w:ind w:right="-115"/>
            <w:jc w:val="right"/>
          </w:pPr>
        </w:p>
      </w:tc>
    </w:tr>
  </w:tbl>
  <w:p w:rsidR="085FABFE" w:rsidP="085FABFE" w:rsidRDefault="085FABFE" w14:paraId="61B9060F" w14:textId="4A4EDBE0">
    <w:pPr>
      <w:pStyle w:val="Footer"/>
      <w:bidi w:val="0"/>
    </w:pPr>
  </w:p>
</w:ftr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136239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d23d9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850ae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89dd4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f1c92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08247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62b70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86b05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8f2b6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f9461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8E322BF"/>
    <w:rsid w:val="00389029"/>
    <w:rsid w:val="01146934"/>
    <w:rsid w:val="026F1578"/>
    <w:rsid w:val="0326F66D"/>
    <w:rsid w:val="0388481F"/>
    <w:rsid w:val="038D82F8"/>
    <w:rsid w:val="0501AE1C"/>
    <w:rsid w:val="054B5E5E"/>
    <w:rsid w:val="070081EE"/>
    <w:rsid w:val="07860BD5"/>
    <w:rsid w:val="084891E3"/>
    <w:rsid w:val="085FABFE"/>
    <w:rsid w:val="08DE0378"/>
    <w:rsid w:val="0B216228"/>
    <w:rsid w:val="0C15666B"/>
    <w:rsid w:val="0C59D680"/>
    <w:rsid w:val="0D4DAEC4"/>
    <w:rsid w:val="0DE9C089"/>
    <w:rsid w:val="0DFC417C"/>
    <w:rsid w:val="0E18B7C3"/>
    <w:rsid w:val="0E93759F"/>
    <w:rsid w:val="0EF50F51"/>
    <w:rsid w:val="0F794857"/>
    <w:rsid w:val="0FC14D58"/>
    <w:rsid w:val="10C332A3"/>
    <w:rsid w:val="10DF49EE"/>
    <w:rsid w:val="123F5696"/>
    <w:rsid w:val="1418B877"/>
    <w:rsid w:val="14968F0D"/>
    <w:rsid w:val="1664A292"/>
    <w:rsid w:val="168B4154"/>
    <w:rsid w:val="16EB3FC4"/>
    <w:rsid w:val="1794DDE4"/>
    <w:rsid w:val="186112A5"/>
    <w:rsid w:val="187AC028"/>
    <w:rsid w:val="18EC504A"/>
    <w:rsid w:val="19279A2F"/>
    <w:rsid w:val="1A43046F"/>
    <w:rsid w:val="1BD1D863"/>
    <w:rsid w:val="1BEFECD1"/>
    <w:rsid w:val="1D3FAD54"/>
    <w:rsid w:val="1D797C6F"/>
    <w:rsid w:val="1D9638A7"/>
    <w:rsid w:val="1E38A178"/>
    <w:rsid w:val="1ECE507F"/>
    <w:rsid w:val="20717A57"/>
    <w:rsid w:val="20AD7076"/>
    <w:rsid w:val="22DD0D5B"/>
    <w:rsid w:val="241E0945"/>
    <w:rsid w:val="2441EE65"/>
    <w:rsid w:val="246B24F2"/>
    <w:rsid w:val="26CC902A"/>
    <w:rsid w:val="271F0F55"/>
    <w:rsid w:val="27514D21"/>
    <w:rsid w:val="2756BC49"/>
    <w:rsid w:val="291FE156"/>
    <w:rsid w:val="29E6E5C4"/>
    <w:rsid w:val="2A6E731B"/>
    <w:rsid w:val="2AC10E79"/>
    <w:rsid w:val="2BFBB17C"/>
    <w:rsid w:val="2CBA8C90"/>
    <w:rsid w:val="2DFB7781"/>
    <w:rsid w:val="2E34EBCB"/>
    <w:rsid w:val="2F2A0F02"/>
    <w:rsid w:val="31898954"/>
    <w:rsid w:val="31AFC906"/>
    <w:rsid w:val="32365FAA"/>
    <w:rsid w:val="32A51563"/>
    <w:rsid w:val="343BDEA7"/>
    <w:rsid w:val="34A15D29"/>
    <w:rsid w:val="3576E19C"/>
    <w:rsid w:val="3624D0E6"/>
    <w:rsid w:val="36CE484F"/>
    <w:rsid w:val="37045302"/>
    <w:rsid w:val="379F6252"/>
    <w:rsid w:val="382E8272"/>
    <w:rsid w:val="38E322BF"/>
    <w:rsid w:val="390012C5"/>
    <w:rsid w:val="39A5294F"/>
    <w:rsid w:val="3CBC3B93"/>
    <w:rsid w:val="3D309868"/>
    <w:rsid w:val="3D485376"/>
    <w:rsid w:val="3D597616"/>
    <w:rsid w:val="3E04054A"/>
    <w:rsid w:val="3E396D6E"/>
    <w:rsid w:val="3E8D13B9"/>
    <w:rsid w:val="3FE1A72F"/>
    <w:rsid w:val="3FE97643"/>
    <w:rsid w:val="40411678"/>
    <w:rsid w:val="40A25261"/>
    <w:rsid w:val="413FB876"/>
    <w:rsid w:val="419D1308"/>
    <w:rsid w:val="42F4FC95"/>
    <w:rsid w:val="436FE90F"/>
    <w:rsid w:val="43F913F6"/>
    <w:rsid w:val="44668C81"/>
    <w:rsid w:val="463120FD"/>
    <w:rsid w:val="483E9C3A"/>
    <w:rsid w:val="4C219B51"/>
    <w:rsid w:val="4CB01B6C"/>
    <w:rsid w:val="4CDF5F34"/>
    <w:rsid w:val="4E3599D5"/>
    <w:rsid w:val="519A2653"/>
    <w:rsid w:val="52FB6B2B"/>
    <w:rsid w:val="556B0946"/>
    <w:rsid w:val="55B6263A"/>
    <w:rsid w:val="56E61538"/>
    <w:rsid w:val="5797A1AB"/>
    <w:rsid w:val="5833D8C4"/>
    <w:rsid w:val="58B82344"/>
    <w:rsid w:val="5A641DC4"/>
    <w:rsid w:val="5A7EC4CC"/>
    <w:rsid w:val="5DC26541"/>
    <w:rsid w:val="5E3CCBDD"/>
    <w:rsid w:val="5E632D55"/>
    <w:rsid w:val="5E6ACFA8"/>
    <w:rsid w:val="5EA12A8E"/>
    <w:rsid w:val="5F4C37B8"/>
    <w:rsid w:val="6138362B"/>
    <w:rsid w:val="63021DF6"/>
    <w:rsid w:val="63626798"/>
    <w:rsid w:val="6390ED8A"/>
    <w:rsid w:val="63EE6749"/>
    <w:rsid w:val="647EBE9C"/>
    <w:rsid w:val="64DA8878"/>
    <w:rsid w:val="6523B5DF"/>
    <w:rsid w:val="65832CB3"/>
    <w:rsid w:val="66DDB9BB"/>
    <w:rsid w:val="6791CFC6"/>
    <w:rsid w:val="67B21324"/>
    <w:rsid w:val="67B35CA7"/>
    <w:rsid w:val="6877C3D7"/>
    <w:rsid w:val="69AA6B2E"/>
    <w:rsid w:val="69BCB6E7"/>
    <w:rsid w:val="6A4EA6DD"/>
    <w:rsid w:val="6AEE0656"/>
    <w:rsid w:val="6B21FDE8"/>
    <w:rsid w:val="6B49BEFD"/>
    <w:rsid w:val="6B67674D"/>
    <w:rsid w:val="6B9A41C6"/>
    <w:rsid w:val="6D2B03E6"/>
    <w:rsid w:val="6D6F18E4"/>
    <w:rsid w:val="6F9374DF"/>
    <w:rsid w:val="6FD49D4A"/>
    <w:rsid w:val="70BB8855"/>
    <w:rsid w:val="713B64B7"/>
    <w:rsid w:val="719085BB"/>
    <w:rsid w:val="71A95386"/>
    <w:rsid w:val="72D98A92"/>
    <w:rsid w:val="72DE1E90"/>
    <w:rsid w:val="7306601A"/>
    <w:rsid w:val="736908C2"/>
    <w:rsid w:val="73F95F6F"/>
    <w:rsid w:val="7433D2CE"/>
    <w:rsid w:val="7580C10D"/>
    <w:rsid w:val="75B36D99"/>
    <w:rsid w:val="793244AF"/>
    <w:rsid w:val="794E2DDB"/>
    <w:rsid w:val="795F5EF6"/>
    <w:rsid w:val="7A770803"/>
    <w:rsid w:val="7AB68900"/>
    <w:rsid w:val="7AC23009"/>
    <w:rsid w:val="7B0C18B5"/>
    <w:rsid w:val="7BB196B7"/>
    <w:rsid w:val="7D120FB1"/>
    <w:rsid w:val="7E1FADC3"/>
    <w:rsid w:val="7E930051"/>
    <w:rsid w:val="7F0BA4D5"/>
    <w:rsid w:val="7FDC2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28C82"/>
  <w15:chartTrackingRefBased/>
  <w15:docId w15:val="{AD67CE73-8CA4-4255-A96C-35C438D747D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3189895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1898954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085FABFE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085FABF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85FABFE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ing4Char" w:customStyle="1" mc:Ignorable="w14">
    <w:name xmlns:w="http://schemas.openxmlformats.org/wordprocessingml/2006/main" w:val="Heading 4 Char"/>
    <w:basedOn xmlns:w="http://schemas.openxmlformats.org/wordprocessingml/2006/main" w:val="DefaultParagraphFont"/>
    <w:link xmlns:w="http://schemas.openxmlformats.org/wordprocessingml/2006/main" w:val="Heading4"/>
    <w:uiPriority xmlns:w="http://schemas.openxmlformats.org/wordprocessingml/2006/main" w:val="9"/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4" mc:Ignorable="w14">
    <w:name xmlns:w="http://schemas.openxmlformats.org/wordprocessingml/2006/main" w:val="heading 4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4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80" w:after="40"/>
      <w:outlineLvl xmlns:w="http://schemas.openxmlformats.org/wordprocessingml/2006/main" w:val="3"/>
    </w:pPr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07cb956e063e424c" /><Relationship Type="http://schemas.openxmlformats.org/officeDocument/2006/relationships/image" Target="/media/image.png" Id="rId2107450861" /><Relationship Type="http://schemas.openxmlformats.org/officeDocument/2006/relationships/hyperlink" Target="https://github.com/marcosviniciusmenezes500-commits/Financas_Publicas_P1_241021847" TargetMode="External" Id="R51c056e6c02943d0" /><Relationship Type="http://schemas.openxmlformats.org/officeDocument/2006/relationships/image" Target="/media/image2.png" Id="rId1030205597" /><Relationship Type="http://schemas.openxmlformats.org/officeDocument/2006/relationships/image" Target="/media/image3.png" Id="rId1874628636" /><Relationship Type="http://schemas.openxmlformats.org/officeDocument/2006/relationships/image" Target="/media/image4.png" Id="rId1363866451" /><Relationship Type="http://schemas.openxmlformats.org/officeDocument/2006/relationships/image" Target="/media/image5.png" Id="rId623577279" /><Relationship Type="http://schemas.openxmlformats.org/officeDocument/2006/relationships/image" Target="/media/image6.png" Id="rId375191170" /><Relationship Type="http://schemas.openxmlformats.org/officeDocument/2006/relationships/image" Target="/media/image7.png" Id="rId1752879905" /><Relationship Type="http://schemas.openxmlformats.org/officeDocument/2006/relationships/image" Target="/media/image8.png" Id="rId566004093" /><Relationship Type="http://schemas.openxmlformats.org/officeDocument/2006/relationships/image" Target="/media/image9.png" Id="rId456331498" /><Relationship Type="http://schemas.openxmlformats.org/officeDocument/2006/relationships/image" Target="/media/imagea.png" Id="rId1234519226" /><Relationship Type="http://schemas.openxmlformats.org/officeDocument/2006/relationships/image" Target="/media/imageb.png" Id="rId528425287" /><Relationship Type="http://schemas.openxmlformats.org/officeDocument/2006/relationships/image" Target="/media/imagec.png" Id="rId1874879266" /><Relationship Type="http://schemas.openxmlformats.org/officeDocument/2006/relationships/hyperlink" Target="https://financedash-ccso9jen.manus.space/" TargetMode="External" Id="R388d25925c3d4450" /><Relationship Type="http://schemas.openxmlformats.org/officeDocument/2006/relationships/hyperlink" Target="https://github.com/marcosviniciusmenezes500-commits/Financas_Publicas_P1_241021847" TargetMode="External" Id="Rd7b47cd986534ec4" /><Relationship Type="http://schemas.openxmlformats.org/officeDocument/2006/relationships/hyperlink" Target="https://siconfi.tesouro.gov.br/" TargetMode="External" Id="R8e15964995dd4651" /><Relationship Type="http://schemas.openxmlformats.org/officeDocument/2006/relationships/footer" Target="footer.xml" Id="Rde576ec0fb3e444c" /><Relationship Type="http://schemas.openxmlformats.org/officeDocument/2006/relationships/footer" Target="footer2.xml" Id="R6cd49a5332ce4ab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2026-05-03T04:35:08.3568672Z</dcterms:created>
  <dcterms:modified xsi:type="dcterms:W3CDTF">2026-05-06T20:44:10.8954572Z</dcterms:modified>
  <dc:creator>Marcos Vinicius Menezes Do Nascimento</dc:creator>
  <lastModifiedBy>Marcos Vinicius Menezes Do Nascimento</lastModifiedBy>
</coreProperties>
</file>