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2CA30EE6" w14:textId="77777777" w:rsidR="00DF4D1D" w:rsidRDefault="00000000">
      <w:r>
        <w:t>4. 6.  Additional Terms of Sale. 2. 6.  restrictions.  Buyer agrees that Buyer is responsible for understanding thecovenants</w:t>
      </w:r>
    </w:p>
    <w:p w14:paraId="22D4AAFC" w14:textId="77777777" w:rsidR="00DF4D1D" w:rsidRDefault="00000000"/>
    <w:p w14:paraId="2CCAA095" w14:textId="77777777" w:rsidR="00DF4D1D" w:rsidRDefault="00000000">
      <w:r>
        <w:t>5.  Other Costs.  The sale contemplated by this Agreement is subject to thefollowing terms.  Buyer s Default.  Project Documents.  easements andequitable servitudes enunciated in the Project Documents.  conditions</w:t>
      </w:r>
    </w:p>
    <w:p w14:paraId="1523F70F" w14:textId="77777777" w:rsidR="00DF4D1D" w:rsidRDefault="00000000"/>
    <w:p w14:paraId="7AFD1E2E" w14:textId="77777777" w:rsidR="00DF4D1D" w:rsidRDefault="00000000">
      <w:r>
        <w:t>3.  All other costs and fees.  conditions and contingencies:5.  If Buyer neglects or refuses to comply with the terms orconditions of the sale contemplated by this Agreement within five  5  days from the date inwhich said term or condition is to be complied with.  Prior to Closing.  including the payment of any and allassessments levied by any applicable homeowners or other association.  restrictions</w:t>
      </w:r>
    </w:p>
    <w:p w14:paraId="6610C9BC" w14:textId="77777777" w:rsidR="00DF4D1D" w:rsidRDefault="00000000"/>
    <w:p w14:paraId="40542CAC" w14:textId="77777777" w:rsidR="00DF4D1D" w:rsidRDefault="00000000">
      <w:r>
        <w:t> If Buyer desires to purchase title insurance for the Property.  including any and all legal fees andcosts. 1.  then the Earnest Money released to Ownerby Closing Agent shall be considered a portion of the damages owed to Owner.  Owner shall deliver or cause to be deliveredthe Project Documents to Buyer.  Buyer understandsand is informed that the Owner.  easements and equitable servitudes for the Projectenunciated in the Project Documents</w:t>
      </w:r>
    </w:p>
    <w:p w14:paraId="7A36DBB5" w14:textId="77777777" w:rsidR="00DF4D1D" w:rsidRDefault="00000000"/>
    <w:p w14:paraId="6440B39C" w14:textId="77777777" w:rsidR="00DF4D1D" w:rsidRDefault="00000000">
      <w:r>
        <w:t> thecost and expense for such title insurance shall be the Buyer s responsibilty.  shall be the responsibility of the party incurring the same.  Sales Commissions.  any and all ofBuyer s rights and interests in the Property shall be immediately terminated.  At Closing.  any other owner of Property within the Project and/or anyapplicable homeowners or other association will requie strict compliance with.  including</w:t>
      </w:r>
    </w:p>
    <w:p w14:paraId="0AFEF00E" w14:textId="77777777" w:rsidR="00DF4D1D" w:rsidRDefault="00000000"/>
    <w:p w14:paraId="3B6B5982" w14:textId="77777777" w:rsidR="00DF4D1D" w:rsidRDefault="00000000">
      <w:r>
        <w:t>4. 4.  A separate Compensation Agreement between theOwner and the Buyers Agent.  Buyer s rightsunder this Agreement shall become null and void.  Buyer shall acknowledge receipt and review of theProject Documents and other documents in connection with the Property by executing the formattached hereto as Exhibit A7.  and may enforcethe terms.  without limitation any and all design guidelines</w:t>
      </w:r>
    </w:p>
    <w:p w14:paraId="582B2B83" w14:textId="77777777" w:rsidR="00DF4D1D" w:rsidRDefault="00000000"/>
    <w:p w14:paraId="0320558A" w14:textId="77777777" w:rsidR="00DF4D1D" w:rsidRDefault="00000000">
      <w:r>
        <w:t>5. 7.  commonly referred to as an *RE-12 Compensation Agreementwith Seller.  and Owner shall have all rights and remediescontained in this Agreement.  Compliance with Project Documents.  covenants. </w:t>
      </w:r>
    </w:p>
    <w:p w14:paraId="530EC0D6" w14:textId="77777777" w:rsidR="00DF4D1D" w:rsidRDefault="00000000"/>
    <w:p w14:paraId="19EF4E8A" w14:textId="77777777" w:rsidR="00DF4D1D" w:rsidRDefault="00000000">
      <w:r>
        <w:t>4.  Possession.  shall govern any sales commissions on this transaction.  and under law and in equity.  By accepting the Warranty Deed to theProperty.  conditions</w:t>
      </w:r>
    </w:p>
    <w:p w14:paraId="122923D3" w14:textId="77777777" w:rsidR="00DF4D1D" w:rsidRDefault="00000000"/>
    <w:p w14:paraId="7487EA1D" w14:textId="77777777" w:rsidR="00DF4D1D" w:rsidRDefault="00000000">
      <w:r>
        <w:t> $750 Architecture Review Fee and $50 Sign Deposit for a total of{$800 will be collected at close of lot or at time of submit of plans for ACC review.  Buyer shall be entitled to possession upon closing.  if any.  The retaining of the Eamest Moneyby Owner as payment of a portion of Owner s damages shall not constitute a waiver of anyother legal or equitable remedies available to Owner.  Buyer agrees to adhere to all the covenants.  restrictions</w:t>
      </w:r>
    </w:p>
    <w:p w14:paraId="4326E82C" w14:textId="77777777" w:rsidR="00DF4D1D" w:rsidRDefault="00000000"/>
    <w:p w14:paraId="03565D84" w14:textId="77777777" w:rsidR="00DF4D1D" w:rsidRDefault="00000000">
      <w:r>
        <w:t>4. 5. 5.  All remedies of the Owner shall becumulative.  conditions.  easements and equitable servitudes enunciated inthe Project Documents</w:t>
      </w:r>
    </w:p>
    <w:p w14:paraId="24B7CD59" w14:textId="77777777" w:rsidR="00DF4D1D" w:rsidRDefault="00000000"/>
    <w:p w14:paraId="1A73D40A" w14:textId="77777777" w:rsidR="00DF4D1D" w:rsidRDefault="00000000">
      <w:r>
        <w:drawing>
          <wp:inline distT="0" distB="0" distL="0" distR="0" wp14:anchorId="1DA96212" wp14:editId="5A9627C5">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1EAACF0F" w14:textId="77777777" w:rsidR="00DF4D1D" w:rsidRDefault="00000000">
      <w:r>
        <w:p>
          <w:r>
            <w:rPr>
              <w:vanish/>
            </w:rPr>
            <w:t>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</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forticloud.com/nstatic/cb/AlsQDABlAL3FaEfyDZ-A6sBtAAWBQPZBs0I03jUPk1G3wN-V1Yte6wR2kxDaiYG1LAYZTJ0TCZ16kkcQG0vnjZuMJu2g5ggDS1VgHCwDiIYeBisV18vf6cGgB-qISvm_VRUoJpJrOvSnjWWuLgKUAgY2zfLLt-Mlu4io6MO_UE4QAPdA4BvH-gscwBnU2AZBSZY.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