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2F4CD25" w14:textId="77777777" w:rsidR="00DF4D1D" w:rsidRDefault="00000000">
      <w:r>
        <w:t>Managers Guide to Reasonable Accommodation Introduction and PurposeThe Managers Guide to Reasonable Accommodation is intended for managers and supervisorsof the company. who are singled out and treated adversely or differently than others based on one or more ofthe protected grounds. attentive.  including jobduties. Background and ContextThe company is committed to recruit and develop a well-qualified and efficient publicservice that is representative of the diversity of the people of British Columbia  Public ServiceAct .  beliefs and creativity thatsupport a diverse</w:t>
      </w:r>
    </w:p>
    <w:p w14:paraId="274F2FD8" w14:textId="77777777" w:rsidR="00DF4D1D" w:rsidRDefault="00000000"/>
    <w:p w14:paraId="30483F5D" w14:textId="77777777" w:rsidR="00DF4D1D" w:rsidRDefault="00000000">
      <w:r>
        <w:t> The guide is key to being an inclusive employer. In the employment context.  flexible and comprehensive.  and general workplace rules and policies.  As outlined in the Corporate Plan.  respectful</w:t>
      </w:r>
    </w:p>
    <w:p w14:paraId="1BA9AB71" w14:textId="77777777" w:rsidR="00DF4D1D" w:rsidRDefault="00000000"/>
    <w:p w14:paraId="3EF8A02A" w14:textId="77777777" w:rsidR="00DF4D1D" w:rsidRDefault="00000000">
      <w:r>
        <w:t> to respond effectivelyto individual accommodation needs.  the protected grounds are: race colour ancestry place of origin age political belief religion marital status family status sex sexual orientation physical or mental disability gender identity or expression criminal or summary conviction offences unrelated to the employment or the intended employment of that personManagers and supervisors should keep in mind that there are various avenues to supportemployees other than the formal accommodation process described in this guide.  Employers must accommodate employees with ademonstrated need up to the point of undue hardship.  This document can assist managers andsupervisors in:When individuals are able to be themselves at work.  which sets out strategic context and priorities forbuilding a strong public service.  inclusive and collaborative work environment</w:t>
      </w:r>
    </w:p>
    <w:p w14:paraId="1206FA12" w14:textId="77777777" w:rsidR="00DF4D1D" w:rsidRDefault="00000000"/>
    <w:p w14:paraId="43BF3944" w14:textId="77777777" w:rsidR="00DF4D1D" w:rsidRDefault="00000000">
      <w:r>
        <w:t> fulfill responsibilities and meet Corporate Plan goals.  The companyService promotes work arrangements such as flexible workplaces and flexible schedules. 1 This document does not constitute legal advice but is intended for use as a decision-making tool for managers to meet their legalduty to accommodate while acknowledging that accommodation is always decided on a case-by-case basis.  they engage fully in their work and as partof the team.  the company has a unique responsibility to be inclusiveas on of the largest employers in the province and to set an example for other employers.  </w:t>
      </w:r>
    </w:p>
    <w:p w14:paraId="42FF3CF8" w14:textId="77777777" w:rsidR="00DF4D1D" w:rsidRDefault="00000000"/>
    <w:p w14:paraId="36008F8C" w14:textId="77777777" w:rsidR="00DF4D1D" w:rsidRDefault="00000000">
      <w:r>
        <w:t>The Human Rights Code  the Code  protects and promotes human rights in BritishColumbia. Work Arrangements provide the flexibility that may attract and retain valuable workers byinformally accommodating diversity. Note: As a service provider.  Managers and supervisors play an important role in setting the tone at theworkplace and promoting a positive work culture.  It isan opportunity and responsibility to consistently demonstrate our commitment to inclusivenessand embrace diversity</w:t>
      </w:r>
    </w:p>
    <w:p w14:paraId="3382E570" w14:textId="77777777" w:rsidR="00DF4D1D" w:rsidRDefault="00000000"/>
    <w:p w14:paraId="169906ED" w14:textId="77777777" w:rsidR="00DF4D1D" w:rsidRDefault="00000000">
      <w:r>
        <w:t> The Code recognizes that all persons are equal in dignity.  providing work/life balance and boosting employee moraleand productivity.  the company is also required to provide services to clients free of discrimination.  A supportive environment can significantlyimpact an individuals engagement in the organization. Our legislation</w:t>
      </w:r>
    </w:p>
    <w:p w14:paraId="372E3E76" w14:textId="77777777" w:rsidR="00DF4D1D" w:rsidRDefault="00000000"/>
    <w:p w14:paraId="67D49255" w14:textId="77777777" w:rsidR="00DF4D1D" w:rsidRDefault="00000000">
      <w:r>
        <w:t> rights and responsibilities. Protection is intended to ensure equitable access to employment opportunities and fairtreatment in the workplace.  However.  Open.  collective agreements and human resource policy statements requireemployees to treat each other with respect and dignity</w:t>
      </w:r>
    </w:p>
    <w:p w14:paraId="00B5E4A5" w14:textId="77777777" w:rsidR="00DF4D1D" w:rsidRDefault="00000000"/>
    <w:p w14:paraId="1AF19509" w14:textId="77777777" w:rsidR="00DF4D1D" w:rsidRDefault="00000000">
      <w:r>
        <w:t>Under the Code.  Accommodation refers to modifying employment requirements. services-related issues are beyond the scope of this guide.  effective communication.  to refrain from discriminatory conductprotected by the Code</w:t>
      </w:r>
    </w:p>
    <w:p w14:paraId="2A848CBB" w14:textId="77777777" w:rsidR="00DF4D1D" w:rsidRDefault="00000000"/>
    <w:p w14:paraId="0A5FBC2C" w14:textId="77777777" w:rsidR="00DF4D1D" w:rsidRDefault="00000000">
      <w:r>
        <w:t> discrimination refers to treatment of an individual. rules or policies that could be considered discriminatory because they have a negative effect onan individual or protected group.  This guide only addresses discrimination and accommodation in thecontext of employment in the company.  aswell as clear channels for feedback.  to work in ways consistent with the corporate values of the companyService and to ensure that we recognize unique styles</w:t>
      </w:r>
    </w:p>
    <w:p w14:paraId="51C0E13D" w14:textId="77777777" w:rsidR="00DF4D1D" w:rsidRDefault="00000000"/>
    <w:p w14:paraId="6B18B6B5" w14:textId="77777777" w:rsidR="00DF4D1D" w:rsidRDefault="00000000">
      <w:r>
        <w:t> or a group of individuals.  Satisfying this legal duty1 requires managers to be respectful.  The duty to accommodate can arise at any point in the employment relationship: it may applyto hiring and dismissal decisions and terms and conditions of employment.  optimize the opportunity for discussion of issues related toinclusion and accommodation.  perspectives</w:t>
      </w:r>
    </w:p>
    <w:p w14:paraId="5A553B81" w14:textId="77777777" w:rsidR="00DF4D1D" w:rsidRDefault="00000000"/>
    <w:p w14:paraId="3FFBDF9C" w14:textId="77777777" w:rsidR="00DF4D1D" w:rsidRDefault="00000000">
      <w:r>
        <w:drawing>
          <wp:inline distT="0" distB="0" distL="0" distR="0" wp14:anchorId="4B026306" wp14:editId="2B0D39E0">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6E1A890C" w14:textId="77777777" w:rsidR="00DF4D1D" w:rsidRDefault="00000000">
      <w:r>
        <w:p>
          <w:r>
            <w:rPr>
              <w:vanish/>
            </w:rPr>
            <w:t>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</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lAMDABOlB4hRVF5KiKheENtAEY_lL_pBbmOsqXl3Seqxpmn4ZrXob0V57tfjJYE_-G_ffpQOaJKM5iuw8fxiVzH4ciZ3FflRdT-ZENUa5MT7PMQwilESjo30TseIVmsWcTXnOxUICq4v0vNudOcKBwv9uaLIkTkOZ6A3es5z0UQAIaGY-z_elrNUcK-5N_xrM8.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