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operación — Tablespaces y Auditoría</w:t>
      </w:r>
    </w:p>
    <w:p>
      <w:pPr>
        <w:pStyle w:val="Heading1"/>
      </w:pPr>
      <w:r>
        <w:t>1. Tablespaces</w:t>
      </w:r>
    </w:p>
    <w:p>
      <w:pPr>
        <w:ind w:left="216"/>
      </w:pPr>
      <w:r>
        <w:rPr>
          <w:b/>
        </w:rPr>
        <w:t xml:space="preserve">1. </w:t>
      </w:r>
      <w:r>
        <w:t>Abra Tablespaces y consulte tamaño, estado, espacio libre y porcentaje utilizado.</w:t>
      </w:r>
    </w:p>
    <w:p>
      <w:pPr>
        <w:ind w:left="216"/>
      </w:pPr>
      <w:r>
        <w:rPr>
          <w:b/>
        </w:rPr>
        <w:t xml:space="preserve">2. </w:t>
      </w:r>
      <w:r>
        <w:t>Seleccione Crear para indicar nombre, ruta del datafile y tamaño inicial; configure Autoextend, NEXT y MAXSIZE si corresponde.</w:t>
      </w:r>
    </w:p>
    <w:p>
      <w:pPr>
        <w:ind w:left="216"/>
      </w:pPr>
      <w:r>
        <w:rPr>
          <w:b/>
        </w:rPr>
        <w:t xml:space="preserve">3. </w:t>
      </w:r>
      <w:r>
        <w:t>Seleccione un tablespace administrable para agregar o redimensionar datafiles y cambiar el estado, según los permisos disponibles.</w:t>
      </w:r>
    </w:p>
    <w:p>
      <w:pPr>
        <w:ind w:left="216"/>
      </w:pPr>
      <w:r>
        <w:rPr>
          <w:b/>
        </w:rPr>
        <w:t xml:space="preserve">4. </w:t>
      </w:r>
      <w:r>
        <w:t>Revise el SQL y las advertencias antes de confirmar; presione Refrescar para verificar el resultado.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343400" cy="2623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blespaces_vista_gen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2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4"/>
        </w:rPr>
        <w:t>Figura 1. Vista general: uso y archivos físicos de tablespaces.</w:t>
      </w:r>
    </w:p>
    <w:p>
      <w:pPr>
        <w:pStyle w:val="Heading1"/>
      </w:pPr>
      <w:r>
        <w:t>2. Auditoría</w:t>
      </w:r>
    </w:p>
    <w:p>
      <w:pPr>
        <w:ind w:left="216"/>
      </w:pPr>
      <w:r>
        <w:rPr>
          <w:b/>
        </w:rPr>
        <w:t xml:space="preserve">1. </w:t>
      </w:r>
      <w:r>
        <w:t>Abra Auditoría &gt; Políticas para consultar las políticas existentes y su estado.</w:t>
      </w:r>
    </w:p>
    <w:p>
      <w:pPr>
        <w:ind w:left="216"/>
      </w:pPr>
      <w:r>
        <w:rPr>
          <w:b/>
        </w:rPr>
        <w:t xml:space="preserve">2. </w:t>
      </w:r>
      <w:r>
        <w:t>Seleccione Crear política y configure las acciones u objetos permitidos; revise el SQL antes de confirmar.</w:t>
      </w:r>
    </w:p>
    <w:p>
      <w:pPr>
        <w:ind w:left="216"/>
      </w:pPr>
      <w:r>
        <w:rPr>
          <w:b/>
        </w:rPr>
        <w:t xml:space="preserve">3. </w:t>
      </w:r>
      <w:r>
        <w:t>Utilice Activar o Desactivar solo cuando la aplicación habilite la acción para la política seleccionada.</w:t>
      </w:r>
    </w:p>
    <w:p>
      <w:pPr>
        <w:ind w:left="216"/>
      </w:pPr>
      <w:r>
        <w:rPr>
          <w:b/>
        </w:rPr>
        <w:t xml:space="preserve">4. </w:t>
      </w:r>
      <w:r>
        <w:t>Abra Pista de auditoría, filtre por fechas, usuario, acción o política; presione Buscar y seleccione un evento. Exporte CSV cuando lo necesite.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343400" cy="2623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ditoria_pis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2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4"/>
        </w:rPr>
        <w:t>Figura 2. Pista de auditoría: búsqueda, filtros y detalle de eventos.</w:t>
      </w:r>
    </w:p>
    <w:p>
      <w:r>
        <w:br w:type="page"/>
      </w:r>
    </w:p>
    <w:p>
      <w:pPr>
        <w:pStyle w:val="Title"/>
      </w:pPr>
      <w:r>
        <w:t>Guía de operación — Directorios y archivos</w:t>
      </w:r>
    </w:p>
    <w:p>
      <w:pPr>
        <w:pStyle w:val="Heading1"/>
      </w:pPr>
      <w:r>
        <w:t>3. Objetos DIRECTORY</w:t>
      </w:r>
    </w:p>
    <w:p>
      <w:pPr>
        <w:ind w:left="216"/>
      </w:pPr>
      <w:r>
        <w:rPr>
          <w:b/>
        </w:rPr>
        <w:t xml:space="preserve">1. </w:t>
      </w:r>
      <w:r>
        <w:t>Abra Directorios y archivos &gt; Objetos DIRECTORY y consulte nombre, ruta, registro y estado.</w:t>
      </w:r>
    </w:p>
    <w:p>
      <w:pPr>
        <w:ind w:left="216"/>
      </w:pPr>
      <w:r>
        <w:rPr>
          <w:b/>
        </w:rPr>
        <w:t xml:space="preserve">2. </w:t>
      </w:r>
      <w:r>
        <w:t>Seleccione un directorio para ver sus privilegios READ/WRITE y los detalles del registro.</w:t>
      </w:r>
    </w:p>
    <w:p>
      <w:pPr>
        <w:ind w:left="216"/>
      </w:pPr>
      <w:r>
        <w:rPr>
          <w:b/>
        </w:rPr>
        <w:t xml:space="preserve">3. </w:t>
      </w:r>
      <w:r>
        <w:t>Para crear un directorio, presione Crear DIRECTORY, introduzca nombre y ruta válida y revise el SQL.</w:t>
      </w:r>
    </w:p>
    <w:p>
      <w:pPr>
        <w:ind w:left="216"/>
      </w:pPr>
      <w:r>
        <w:rPr>
          <w:b/>
        </w:rPr>
        <w:t xml:space="preserve">4. </w:t>
      </w:r>
      <w:r>
        <w:t>Utilice Registrar existente, Otorgar READ/WRITE o Eliminar únicamente cuando la aplicación habilite la operación; confirme las advertencias.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343400" cy="2623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rectorios_obje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2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4"/>
        </w:rPr>
        <w:t>Figura 3. Objetos DIRECTORY registrados y verificación de la carpeta local.</w:t>
      </w:r>
    </w:p>
    <w:p>
      <w:pPr>
        <w:pStyle w:val="Heading1"/>
      </w:pPr>
      <w:r>
        <w:t>4. Archivos DMP y LOG</w:t>
      </w:r>
    </w:p>
    <w:p>
      <w:pPr>
        <w:ind w:left="216"/>
      </w:pPr>
      <w:r>
        <w:rPr>
          <w:b/>
        </w:rPr>
        <w:t xml:space="preserve">1. </w:t>
      </w:r>
      <w:r>
        <w:t>Abra la pestaña Archivos, seleccione un DIRECTORY activo y presione Refrescar.</w:t>
      </w:r>
    </w:p>
    <w:p>
      <w:pPr>
        <w:ind w:left="216"/>
      </w:pPr>
      <w:r>
        <w:rPr>
          <w:b/>
        </w:rPr>
        <w:t xml:space="preserve">2. </w:t>
      </w:r>
      <w:r>
        <w:t>Consulte la lista de DMP/LOG, sus tamaños, fechas y asociación con el catálogo de respaldos.</w:t>
      </w:r>
    </w:p>
    <w:p>
      <w:pPr>
        <w:ind w:left="216"/>
      </w:pPr>
      <w:r>
        <w:rPr>
          <w:b/>
        </w:rPr>
        <w:t xml:space="preserve">3. </w:t>
      </w:r>
      <w:r>
        <w:t>Seleccione un LOG para utilizar Ver log; los archivos LOG no se renombran ni eliminan desde esta pantalla.</w:t>
      </w:r>
    </w:p>
    <w:p>
      <w:pPr>
        <w:ind w:left="216"/>
      </w:pPr>
      <w:r>
        <w:rPr>
          <w:b/>
        </w:rPr>
        <w:t xml:space="preserve">4. </w:t>
      </w:r>
      <w:r>
        <w:t>Para un DMP autorizado, utilice Renombrar DMP o Eliminar DMP, revise el SQL y confirme únicamente si acepta las consecuencias. La eliminación conserva el historial como ELIMINADO.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343400" cy="2623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rectorios_archiv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2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4"/>
        </w:rPr>
        <w:t>Figura 4. Archivos de respaldo y estados del catálogo.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93" w:bottom="677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>Módulos de la Persona 3 · Integrar en el manual grupal (máx. 4 páginas)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C74634"/>
      </w:rPr>
      <w:t>ORAADMIN XE  |  APORTE AL MANUAL DE USUARIO  |  ISSUE #26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Segoe UI" w:hAnsi="Segoe UI"/>
      <w:color w:val="262B38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"/>
      <w:outlineLvl w:val="0"/>
    </w:pPr>
    <w:rPr>
      <w:rFonts w:asciiTheme="majorHAnsi" w:eastAsiaTheme="majorEastAsia" w:hAnsiTheme="majorHAnsi" w:cstheme="majorBidi" w:ascii="Segoe UI" w:hAnsi="Segoe UI"/>
      <w:b/>
      <w:bCs/>
      <w:color w:val="C74634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Segoe UI" w:hAnsi="Segoe UI"/>
      <w:b/>
      <w:bCs/>
      <w:color w:val="C74634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40"/>
      <w:contextualSpacing/>
    </w:pPr>
    <w:rPr>
      <w:rFonts w:asciiTheme="majorHAnsi" w:eastAsiaTheme="majorEastAsia" w:hAnsiTheme="majorHAnsi" w:cstheme="majorBidi" w:ascii="Segoe UI" w:hAnsi="Segoe UI"/>
      <w:color w:val="C74634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