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S10 — Avance Consolidado</w:t>
      </w:r>
    </w:p>
    <w:p>
      <w:pPr>
        <w:jc w:val="center"/>
      </w:pPr>
      <w:r>
        <w:rPr>
          <w:sz w:val="22"/>
        </w:rPr>
        <w:t>Patricio Bayas Meza · José Puebla Paladines · Marco Zurita Rojas</w:t>
        <w:br/>
        <w:t>2026-08-23</w:t>
        <w:br/>
        <w:t>https://github.com/marcoz1691/MIA_Deteccion_HC</w:t>
      </w:r>
    </w:p>
    <w:p>
      <w:r>
        <w:t>Detección de inconsistencias en historias clínicas (CITIMED / MEDEC). Documento generado desde métricas del repositorio, con figuras y capturas del prototipo.</w:t>
      </w:r>
    </w:p>
    <w:p>
      <w:pPr>
        <w:pStyle w:val="Heading1"/>
      </w:pPr>
      <w:r>
        <w:t>1. Resumen ejecutivo</w:t>
      </w:r>
    </w:p>
    <w:p>
      <w:r>
        <w:t>Este informe consolida el avance del proyecto MIA_Deteccion_HC: detección de inconsistencias en historias clínicas a nivel de oración, con evaluación sobre MEDEC (Ben Abacha et al., 2025) y prototipo demo para CITIMED.</w:t>
      </w:r>
    </w:p>
    <w:p>
      <w:r>
        <w:t>Resultado principal: reformular la tarea de nivel nota a nivel oración eleva el ROC-AUC de 0.504 (baseline) a 0.949 (IC95 0.940–0.958) y localiza la oración errónea en 84.6 % de las notas con error (263/311).</w:t>
      </w:r>
    </w:p>
    <w:p>
      <w:r>
        <w:t>AUPRC test = 0.419 con prevalencia de oración-error 4.5 % — métrica complementaria al F1 en clases desbalanceadas.</w:t>
      </w:r>
    </w:p>
    <w:p>
      <w:r>
        <w:t>Se implementaron tres brazos (TF-IDF, LLM zero-shot, LLM+RAG), demo Streamlit, API REST FastAPI (POST /generar), frontend React, fallback explícito a TF-IDF, soporte Ollama on-premise para PHI y evaluaciones por tipo de error y sesgo EN-ES.</w:t>
      </w:r>
    </w:p>
    <w:p>
      <w:r>
        <w:t>Repositorio: https://github.com/marcoz1691/MIA_Deteccion_HC</w:t>
      </w:r>
    </w:p>
    <w:p>
      <w:r>
        <w:t>Disclaimer: prototipo de investigación; no sustituye criterio clínico ni decisiones terapéuticas.</w:t>
      </w:r>
    </w:p>
    <w:p>
      <w:pPr>
        <w:pStyle w:val="Heading1"/>
      </w:pPr>
      <w:r>
        <w:t>2. Metodología</w:t>
      </w:r>
    </w:p>
    <w:p>
      <w:r>
        <w:t>2.1 Unidad de predicción: oración clínica segmentada desde la nota completa (Error Sentence ID en MEDEC). Localización = oración con mayor score dentro de la nota.</w:t>
      </w:r>
    </w:p>
    <w:p>
      <w:r>
        <w:t>2.2 Stack implementado (alineado con el repositorio):</w:t>
      </w:r>
    </w:p>
    <w:p>
      <w:pPr>
        <w:pStyle w:val="ListBullet"/>
      </w:pPr>
      <w:r>
        <w:t>• TF-IDF + rasgos numéricos + Regresión Logística (s6/modelo_ajustado.py)</w:t>
      </w:r>
    </w:p>
    <w:p>
      <w:pPr>
        <w:pStyle w:val="ListBullet"/>
      </w:pPr>
      <w:r>
        <w:t>• LLM zero-shot vía cliente OpenAI-compatible (s7/llm_client.py, s7/prompts.py)</w:t>
      </w:r>
    </w:p>
    <w:p>
      <w:pPr>
        <w:pStyle w:val="ListBullet"/>
      </w:pPr>
      <w:r>
        <w:t>• RAG: sentence-transformers + FAISS sobre guías en s7/knowledge/ (s7/rag_index.py)</w:t>
      </w:r>
    </w:p>
    <w:p>
      <w:pPr>
        <w:pStyle w:val="ListBullet"/>
      </w:pPr>
      <w:r>
        <w:t>• Inferencia unificada: s7/inferencia.py (demo, API y scripts de evaluación)</w:t>
      </w:r>
    </w:p>
    <w:p>
      <w:pPr>
        <w:pStyle w:val="ListBullet"/>
      </w:pPr>
      <w:r>
        <w:t>• API REST: FastAPI en api/ — GET /health, POST /generar (InferenceService)</w:t>
      </w:r>
    </w:p>
    <w:p>
      <w:pPr>
        <w:pStyle w:val="ListBullet"/>
      </w:pPr>
      <w:r>
        <w:t>• Frontend React + Vite en frontend/ — proxy a la API en puerto 8000</w:t>
      </w:r>
    </w:p>
    <w:p>
      <w:pPr>
        <w:pStyle w:val="ListBullet"/>
      </w:pPr>
      <w:r>
        <w:t>• Config centralizada: s7/config.yaml; seed global SEED=42</w:t>
      </w:r>
    </w:p>
    <w:p>
      <w:r>
        <w:t>2.3 Trabajo futuro (NO implementado en S10): LangChain/LlamaIndex, Docker Compose, DVC, MLflow operativo (requirements-optional.txt), cascada TF-IDF→LLM en inferencia, corrección sugerida/faithfulness RAG, índice CIE-10 formal, corpus CITIMED anonimizado.</w:t>
      </w:r>
    </w:p>
    <w:p>
      <w:pPr>
        <w:pStyle w:val="Heading1"/>
      </w:pPr>
      <w:r>
        <w:t>3. Implementación — capacidades entregadas</w:t>
      </w:r>
    </w:p>
    <w:p>
      <w:r>
        <w:t>La tabla siguiente corrige el borrador S8 (§132–148): todas estas capacidades están implementadas en el repositorio con rutas verificables.</w:t>
      </w:r>
    </w:p>
    <w:p>
      <w:pPr>
        <w:pStyle w:val="NoSpacing"/>
      </w:pPr>
      <w:r>
        <w:t>| Capacidad | Módulo | Evidencia |</w:t>
      </w:r>
    </w:p>
    <w:p>
      <w:pPr>
        <w:pStyle w:val="NoSpacing"/>
      </w:pPr>
      <w:r>
        <w:t>|-----------|--------|-----------|</w:t>
      </w:r>
    </w:p>
    <w:p>
      <w:pPr>
        <w:pStyle w:val="NoSpacing"/>
      </w:pPr>
      <w:r>
        <w:t>| Comparación tripartita TF-IDF/LLM/LLM+RAG | s7/eval_tripartita.py | salidas_s7/metricas_tripartita.json |</w:t>
      </w:r>
    </w:p>
    <w:p>
      <w:pPr>
        <w:pStyle w:val="NoSpacing"/>
      </w:pPr>
      <w:r>
        <w:t>| Índice FAISS + RAG | s7/rag_index.py, s7/knowledge/ | salidas_s7/faiss_index/ |</w:t>
      </w:r>
    </w:p>
    <w:p>
      <w:pPr>
        <w:pStyle w:val="NoSpacing"/>
      </w:pPr>
      <w:r>
        <w:t>| Inferencia unificada | s7/inferencia.py | s7/test_fallback.py |</w:t>
      </w:r>
    </w:p>
    <w:p>
      <w:pPr>
        <w:pStyle w:val="NoSpacing"/>
      </w:pPr>
      <w:r>
        <w:t>| Análisis por ErrorType | s7/analisis_por_tipo.py | salidas_s7/analisis_por_tipo.json |</w:t>
      </w:r>
    </w:p>
    <w:p>
      <w:pPr>
        <w:pStyle w:val="NoSpacing"/>
      </w:pPr>
      <w:r>
        <w:t>| Sesgo EN-ES | s7/eval_idioma.py, s7/eval_tfidf_idioma.py | salidas_s7/eval_idioma_en_es.json |</w:t>
      </w:r>
    </w:p>
    <w:p>
      <w:pPr>
        <w:pStyle w:val="NoSpacing"/>
      </w:pPr>
      <w:r>
        <w:t>| Demo Streamlit | demo/ | demo/README.md + capturas s10/evidencias/capturas/ |</w:t>
      </w:r>
    </w:p>
    <w:p>
      <w:pPr>
        <w:pStyle w:val="NoSpacing"/>
      </w:pPr>
      <w:r>
        <w:t>| API REST FastAPI | api/main.py, api/service.py | GET /health, POST /generar, OpenAPI /docs |</w:t>
      </w:r>
    </w:p>
    <w:p>
      <w:pPr>
        <w:pStyle w:val="NoSpacing"/>
      </w:pPr>
      <w:r>
        <w:t>| Frontend React | frontend/ | NotaInput + ResultadosPanel, proxy Vite → :8000 |</w:t>
      </w:r>
    </w:p>
    <w:p>
      <w:pPr>
        <w:pStyle w:val="NoSpacing"/>
      </w:pPr>
      <w:r>
        <w:t>| Fallback API → TF-IDF | s7/inferencia.py, api/service.py | modo_degradado=True, test_fallback |</w:t>
      </w:r>
    </w:p>
    <w:p>
      <w:pPr>
        <w:pStyle w:val="NoSpacing"/>
      </w:pPr>
      <w:r>
        <w:t>| SHAP/LIME (figuras) | salidas_s7/shap_*.png, lime_*.png | s7/docs/reporte_interpretabilidad_etica.md |</w:t>
      </w:r>
    </w:p>
    <w:p>
      <w:pPr>
        <w:pStyle w:val="NoSpacing"/>
      </w:pPr>
      <w:r>
        <w:t>| Mock LLM + consentimiento PHI + auditoría SHA-256 | demo/components/security.py | salidas_s7/audit.log |</w:t>
      </w:r>
    </w:p>
    <w:p>
      <w:pPr>
        <w:pStyle w:val="NoSpacing"/>
      </w:pPr>
      <w:r>
        <w:t>| Ollama on-premise (PHI CITIMED) | s7/llm_client.py, s7/docs/informe_produccion.md | OPENAI_BASE_URL=http://localhost:11434/v1 |</w:t>
      </w:r>
    </w:p>
    <w:p>
      <w:pPr>
        <w:pStyle w:val="Heading1"/>
      </w:pPr>
      <w:r>
        <w:t>4. Resultados TF-IDF ajustado (test MEDEC)</w:t>
      </w:r>
    </w:p>
    <w:p>
      <w:r>
        <w:t>ROC-AUC = 0.949 (IC95 0.940–0.958)</w:t>
      </w:r>
    </w:p>
    <w:p>
      <w:r>
        <w:t>AUPRC = 0.419 (IC95 0.392–0.446)</w:t>
      </w:r>
    </w:p>
    <w:p>
      <w:r>
        <w:t>F1 = 0.497, Precision = 0.357, Recall = 0.817</w:t>
      </w:r>
    </w:p>
    <w:p>
      <w:r>
        <w:t>CV 5-fold AUC = 0.965 ± 0.007</w:t>
      </w:r>
    </w:p>
    <w:p>
      <w:r>
        <w:t>Localización top-1 = 84.6 % (263/311 notas)</w:t>
      </w:r>
    </w:p>
    <w:p>
      <w:r>
        <w:t>Baseline a nivel nota: ROC-AUC = 0.504 (sin señal léxica). McNemar baseline vs ajustado a nivel nota: p = 0.53 — el valor está en la localización, no en el flag binario por nota.</w:t>
      </w:r>
    </w:p>
    <w:p>
      <w:r>
        <w:t>Figuras embebidas a continuación (origen: s6/figura_ajuste.png y s10/evidencias/).</w:t>
      </w:r>
    </w:p>
    <w:p>
      <w:r>
        <w:drawing>
          <wp:inline xmlns:a="http://schemas.openxmlformats.org/drawingml/2006/main" xmlns:pic="http://schemas.openxmlformats.org/drawingml/2006/picture">
            <wp:extent cx="5669280" cy="17007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ajus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0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Curvas ROC/PR y lift — TF-IDF ajustado (MEDEC).</w:t>
      </w:r>
    </w:p>
    <w:p>
      <w:r>
        <w:drawing>
          <wp:inline xmlns:a="http://schemas.openxmlformats.org/drawingml/2006/main" xmlns:pic="http://schemas.openxmlformats.org/drawingml/2006/picture">
            <wp:extent cx="5029200" cy="1508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ajus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1b. Curvas TF-IDF (evidencia S6).</w:t>
      </w:r>
    </w:p>
    <w:p>
      <w:pPr>
        <w:pStyle w:val="Heading1"/>
      </w:pPr>
      <w:r>
        <w:t>5. Resultados S7 extendido</w:t>
      </w:r>
    </w:p>
    <w:p>
      <w:r>
        <w:t>5.1 Comparación tripartita (subset test, mock LLM declarado como limitación):</w:t>
      </w:r>
    </w:p>
    <w:p>
      <w:pPr>
        <w:pStyle w:val="ListBullet"/>
      </w:pPr>
      <w:r>
        <w:t>• TF-IDF: ROC-AUC = 0.954, AUPRC = 0.475, latencia ≈ 0.41 ms/oración</w:t>
      </w:r>
    </w:p>
    <w:p>
      <w:pPr>
        <w:pStyle w:val="ListBullet"/>
      </w:pPr>
      <w:r>
        <w:t>• LLM zero-shot: ROC-AUC = 0.498 (mock)</w:t>
      </w:r>
    </w:p>
    <w:p>
      <w:pPr>
        <w:pStyle w:val="ListBullet"/>
      </w:pPr>
      <w:r>
        <w:t>• LLM+RAG: ROC-AUC = 0.498</w:t>
      </w:r>
    </w:p>
    <w:p>
      <w:r>
        <w:t>En modo mock, LLM no discrimina (AUC ≈ 0.5); TF-IDF mantiene ventaja estadística (McNemar TF-IDF vs LLM: p ≈ 0.11 en subset 500 oraciones). Evaluación con API real pendiente para latencias y costos de producción.</w:t>
      </w:r>
    </w:p>
    <w:p>
      <w:r>
        <w:t>5.2 Análisis por ErrorType (TF-IDF, test):</w:t>
      </w:r>
    </w:p>
    <w:p>
      <w:r>
        <w:t>causalOrganism: recall=0.818, loc top-1=0.818 (n=11)</w:t>
      </w:r>
    </w:p>
    <w:p>
      <w:r>
        <w:t>diagnosis: recall=0.897, loc top-1=0.948 (n=116)</w:t>
      </w:r>
    </w:p>
    <w:p>
      <w:r>
        <w:t>management: recall=0.680, loc top-1=0.732 (n=97)</w:t>
      </w:r>
    </w:p>
    <w:p>
      <w:r>
        <w:t>pharmacotherapy: recall=0.861, loc top-1=0.861 (n=36)</w:t>
      </w:r>
    </w:p>
    <w:p>
      <w:r>
        <w:t>treatment: recall=0.863, loc top-1=0.824 (n=51)</w:t>
      </w:r>
    </w:p>
    <w:p>
      <w:r>
        <w:t>Errores críticos (pharmacotherapy, diagnosis) mantienen recall &gt; 0.86.</w:t>
      </w:r>
    </w:p>
    <w:p>
      <w:r>
        <w:t>5.3 Sesgo EN-ES (subset n=200, mock LLM): ΔAUC EN−ES = 0.000. Sin ventaja mensurable en mock; para CITIMED se recomienda prompts en español + modelo local (Ollama).</w:t>
      </w:r>
    </w:p>
    <w:p>
      <w:r>
        <w:t>5.4 TF-IDF por stop_words (test MEDEC, eval_tfidf_idioma.py):</w:t>
      </w:r>
    </w:p>
    <w:p>
      <w:pPr>
        <w:pStyle w:val="ListBullet"/>
      </w:pPr>
      <w:r>
        <w:t>• english: AUC=0.949, AUPRC=0.398</w:t>
      </w:r>
    </w:p>
    <w:p>
      <w:pPr>
        <w:pStyle w:val="ListBullet"/>
      </w:pPr>
      <w:r>
        <w:t>• spanish: AUC=0.959, AUPRC=0.432</w:t>
      </w:r>
    </w:p>
    <w:p>
      <w:pPr>
        <w:pStyle w:val="ListBullet"/>
      </w:pPr>
      <w:r>
        <w:t>• bilingue (none): AUC=0.959, AUPRC=0.432</w:t>
      </w:r>
    </w:p>
    <w:p>
      <w:r>
        <w:drawing>
          <wp:inline xmlns:a="http://schemas.openxmlformats.org/drawingml/2006/main" xmlns:pic="http://schemas.openxmlformats.org/drawingml/2006/picture">
            <wp:extent cx="5303520" cy="15152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comparacion_triparti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15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2. Comparacion tripartita TF-IDF / LLM / LLM+RAG.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recall_por_tip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3. Recall por ErrorType (TF-IDF).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4. Interpretabilidad SHAP (TF-IDF).</w:t>
      </w:r>
    </w:p>
    <w:p>
      <w:pPr>
        <w:pStyle w:val="Heading1"/>
      </w:pPr>
      <w:r>
        <w:t>6. Demo, API y robustez operativa</w:t>
      </w:r>
    </w:p>
    <w:p>
      <w:r>
        <w:t>6.1 Demo Streamlit (demo/app.py): análisis tripartita, página Métricas, configuración de brazos.</w:t>
      </w:r>
    </w:p>
    <w:p>
      <w:r>
        <w:t>6.2 API FastAPI (api/): expone el mismo pipeline que la demo vía HTTP.</w:t>
      </w:r>
    </w:p>
    <w:p>
      <w:pPr>
        <w:pStyle w:val="ListBullet"/>
      </w:pPr>
      <w:r>
        <w:t>• GET /health — estado del servicio y disponibilidad del modelo TF-IDF</w:t>
      </w:r>
    </w:p>
    <w:p>
      <w:pPr>
        <w:pStyle w:val="ListBullet"/>
      </w:pPr>
      <w:r>
        <w:t>• POST /generar — payload JSON: nota_clinica, mock_llm (default true), idioma, brazos, umbral</w:t>
      </w:r>
    </w:p>
    <w:p>
      <w:pPr>
        <w:pStyle w:val="ListBullet"/>
      </w:pPr>
      <w:r>
        <w:t>• InferenceService carga TF-IDF, LLMClient y RAGIndex al arrancar (lifespan)</w:t>
      </w:r>
    </w:p>
    <w:p>
      <w:pPr>
        <w:pStyle w:val="ListBullet"/>
      </w:pPr>
      <w:r>
        <w:t>• CORS habilitado para el frontend React; documentación OpenAPI en /docs</w:t>
      </w:r>
    </w:p>
    <w:p>
      <w:pPr>
        <w:pStyle w:val="ListBullet"/>
      </w:pPr>
      <w:r>
        <w:t>• Arranque: uvicorn api.main:app --reload --port 8000</w:t>
      </w:r>
    </w:p>
    <w:p>
      <w:r>
        <w:t>6.3 Frontend React (frontend/): cliente mínimo con Vite.</w:t>
      </w:r>
    </w:p>
    <w:p>
      <w:pPr>
        <w:pStyle w:val="ListBullet"/>
      </w:pPr>
      <w:r>
        <w:t>• npm run dev → http://localhost:5173; proxy /generar y /health hacia :8000</w:t>
      </w:r>
    </w:p>
    <w:p>
      <w:pPr>
        <w:pStyle w:val="ListBullet"/>
      </w:pPr>
      <w:r>
        <w:t>• Muestra top1 (oración sospechosa) y tabla de scores por brazo</w:t>
      </w:r>
    </w:p>
    <w:p>
      <w:r>
        <w:t>6.4 Seguridad y fallback:</w:t>
      </w:r>
    </w:p>
    <w:p>
      <w:r>
        <w:t>Mock LLM activo por defecto — ningún dato sale del equipo sin consentimiento explícito (Streamlit).</w:t>
      </w:r>
    </w:p>
    <w:p>
      <w:r>
        <w:t>Fallback: si la API LLM falla (LLMUnavailableError), inferencia continúa con TF-IDF, modo_degradado=True y mensaje en la respuesta JSON (verificado en s7/test_fallback.py).</w:t>
      </w:r>
    </w:p>
    <w:p>
      <w:r>
        <w:t>Ollama on-premise: mismo LLMClient con OPENAI_BASE_URL=http://localhost:11434/v1 para datos PHI CITIMED sin egress a nube.</w:t>
      </w:r>
    </w:p>
    <w:p>
      <w:r>
        <w:t>Auditoría Streamlit: salidas_s7/audit.log registra hash SHA-256 de la nota — sin texto clínico.</w:t>
      </w:r>
    </w:p>
    <w:p>
      <w:r>
        <w:t>Capturas del prototipo embebidas a continuación (s10/evidencias/capturas/).</w:t>
      </w:r>
    </w:p>
    <w:p>
      <w:r>
        <w:drawing>
          <wp:inline xmlns:a="http://schemas.openxmlformats.org/drawingml/2006/main" xmlns:pic="http://schemas.openxmlformats.org/drawingml/2006/picture">
            <wp:extent cx="5486400" cy="35910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anali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1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5. Demo — analisis ejemplo medicacion (mock LLM).</w:t>
      </w:r>
    </w:p>
    <w:p>
      <w:r>
        <w:drawing>
          <wp:inline xmlns:a="http://schemas.openxmlformats.org/drawingml/2006/main" xmlns:pic="http://schemas.openxmlformats.org/drawingml/2006/picture">
            <wp:extent cx="5303520" cy="25071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metric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07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6. Demo — pagina Metricas.</w:t>
      </w:r>
    </w:p>
    <w:p>
      <w:r>
        <w:drawing>
          <wp:inline xmlns:a="http://schemas.openxmlformats.org/drawingml/2006/main" xmlns:pic="http://schemas.openxmlformats.org/drawingml/2006/picture">
            <wp:extent cx="5303520" cy="20249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allba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7. Fallback TF-IDF (modo degradado).</w:t>
      </w:r>
    </w:p>
    <w:p>
      <w:pPr>
        <w:pStyle w:val="Heading1"/>
      </w:pPr>
      <w:r>
        <w:t>7. Pitch (escrito)</w:t>
      </w:r>
    </w:p>
    <w:p>
      <w:r>
        <w:t>Problema: las inconsistencias clínicas son contradicciones semánticas (p. ej. alergia a penicilina + prescripción de amoxicilina), invisibles para TF-IDF a nivel nota.</w:t>
      </w:r>
    </w:p>
    <w:p>
      <w:r>
        <w:t>Solución: segmentar la nota, puntuar cada oración y resaltar la más sospechosa; opcionalmente enriquecer con LLM+RAG anclado en guías clínicas.</w:t>
      </w:r>
    </w:p>
    <w:p>
      <w:r>
        <w:t>Evidencia: ROC-AUC 0.949 y localización 84.6 % sobre MEDEC; demo Streamlit o frontend React + API FastAPI en minutos.</w:t>
      </w:r>
    </w:p>
    <w:p>
      <w:r>
        <w:t>Valor: apoyo a auditoría clínica y seguridad del paciente; despliegue recomendado en cascada TF-IDF local → LLM solo en candidatas; Ollama para PHI; fallback transparente.</w:t>
      </w:r>
    </w:p>
    <w:p>
      <w:r>
        <w:t>Mensaje clave: el prototipo no diagnostica ni prescribe — prioriza oraciones sospechosas para revisión humana, con trazabilidad (scores, RAG, auditoría).</w:t>
      </w:r>
    </w:p>
    <w:p>
      <w:pPr>
        <w:pStyle w:val="Heading1"/>
      </w:pPr>
      <w:r>
        <w:t>8. Reflexión y retroalimentación</w:t>
      </w:r>
    </w:p>
    <w:p>
      <w:r>
        <w:t>Feedback del curso integrado: reportar AUPRC además de F1 (prevalencia 4.5 %); diagnosticar sesgo EN-ES; documentar riesgos PHI antes de piloto CITIMED.</w:t>
      </w:r>
    </w:p>
    <w:p>
      <w:r>
        <w:t>Lección S6: datos sintéticos generaron métricas engañosas (AUC 0.845) — validación solo sobre MEDEC real.</w:t>
      </w:r>
    </w:p>
    <w:p>
      <w:r>
        <w:t>Lección S7: el valor clínico está en localizar la oración, no en clasificar la nota entera.</w:t>
      </w:r>
    </w:p>
    <w:p>
      <w:r>
        <w:t>Corrección documental S10: el borrador S8 listaba capacidades ya implementadas como pendientes; este informe se reescribió desde el repositorio (rutas, métricas JSON, FastAPI/React) y separa claramente trabajo futuro (LangChain, Docker, DVC, MLflow).</w:t>
      </w:r>
    </w:p>
    <w:p>
      <w:r>
        <w:t>Mejora aplicada post-feedback: eval_tfidf_idioma.py (stop words español) eleva test AUC a ~0.959 vs 0.949 english-only — evidencia en s10/evidencias/eval_tfidf_idioma.json.</w:t>
      </w:r>
    </w:p>
    <w:p>
      <w:pPr>
        <w:pStyle w:val="Heading1"/>
      </w:pPr>
      <w:r>
        <w:t>9. Limitaciones y trabajo futuro</w:t>
      </w:r>
    </w:p>
    <w:p>
      <w:r>
        <w:t>• LLM evaluado principalmente en mock — conclusiones semánticas requieren API/Ollama real.</w:t>
      </w:r>
    </w:p>
    <w:p>
      <w:r>
        <w:t>• Subset tripartita (500 oraciones) — métricas completas en test requieren más compute.</w:t>
      </w:r>
    </w:p>
    <w:p>
      <w:r>
        <w:t>• Corpus CITIMED anonimizado pendiente (organizacional + ética).</w:t>
      </w:r>
    </w:p>
    <w:p>
      <w:r>
        <w:t>• Cascada TF-IDF→LLM documentada pero no codificada en inferencia.py.</w:t>
      </w:r>
    </w:p>
    <w:p>
      <w:r>
        <w:t>• Docker Compose para empaquetar API + frontend: plan futuro (FastAPI ya implementada).</w:t>
      </w:r>
    </w:p>
    <w:p>
      <w:r>
        <w:t>• LangChain, DVC, MLflow: plan futuro, no entregados en S10.</w:t>
      </w:r>
    </w:p>
    <w:p>
      <w:pPr>
        <w:pStyle w:val="Heading1"/>
      </w:pPr>
      <w:r>
        <w:t>10. Anexo técnico</w:t>
      </w:r>
    </w:p>
    <w:p>
      <w:r>
        <w:t>Estructura del repositorio:</w:t>
      </w:r>
    </w:p>
    <w:p>
      <w:pPr>
        <w:pStyle w:val="ListBullet"/>
      </w:pPr>
      <w:r>
        <w:t>MIA_Deteccion_HC/</w:t>
      </w:r>
    </w:p>
    <w:p>
      <w:pPr>
        <w:pStyle w:val="ListBullet"/>
      </w:pPr>
      <w:r>
        <w:t>├── s6/          # TF-IDF ajustado + BITACORA</w:t>
      </w:r>
    </w:p>
    <w:p>
      <w:pPr>
        <w:pStyle w:val="ListBullet"/>
      </w:pPr>
      <w:r>
        <w:t>├── s7/          # LLM, RAG, evaluaciones, inferencia</w:t>
      </w:r>
    </w:p>
    <w:p>
      <w:pPr>
        <w:pStyle w:val="ListBullet"/>
      </w:pPr>
      <w:r>
        <w:t>├── api/         # FastAPI — POST /generar, GET /health</w:t>
      </w:r>
    </w:p>
    <w:p>
      <w:pPr>
        <w:pStyle w:val="ListBullet"/>
      </w:pPr>
      <w:r>
        <w:t>├── frontend/    # React + Vite (cliente HTTP)</w:t>
      </w:r>
    </w:p>
    <w:p>
      <w:pPr>
        <w:pStyle w:val="ListBullet"/>
      </w:pPr>
      <w:r>
        <w:t>├── demo/        # Streamlit (demo alternativa)</w:t>
      </w:r>
    </w:p>
    <w:p>
      <w:pPr>
        <w:pStyle w:val="ListBullet"/>
      </w:pPr>
      <w:r>
        <w:t>├── s8/docs/     # Borrador histórico S8</w:t>
      </w:r>
    </w:p>
    <w:p>
      <w:pPr>
        <w:pStyle w:val="ListBullet"/>
      </w:pPr>
      <w:r>
        <w:t>├── s10/         # Entrega S10 (evidencias + PDF)</w:t>
      </w:r>
    </w:p>
    <w:p>
      <w:pPr>
        <w:pStyle w:val="ListBullet"/>
      </w:pPr>
      <w:r>
        <w:t>├── salidas_ajuste/   # modelo_ajustado.joblib (generado)</w:t>
      </w:r>
    </w:p>
    <w:p>
      <w:pPr>
        <w:pStyle w:val="ListBullet"/>
      </w:pPr>
      <w:r>
        <w:t>└── salidas_s7/       # métricas eval, FAISS, caché (generado)</w:t>
      </w:r>
    </w:p>
    <w:p>
      <w:r>
        <w:t>Comandos de reproducción (desde raíz, venv activo, MEDEC en medec_try/MEDEC-MS/):</w:t>
      </w:r>
    </w:p>
    <w:p>
      <w:pPr>
        <w:pStyle w:val="ListBullet"/>
      </w:pPr>
      <w:r>
        <w:t>python s6/modelo_ajustado.py</w:t>
      </w:r>
    </w:p>
    <w:p>
      <w:pPr>
        <w:pStyle w:val="ListBullet"/>
      </w:pPr>
      <w:r>
        <w:t>python s7/analisis_por_tipo.py</w:t>
      </w:r>
    </w:p>
    <w:p>
      <w:pPr>
        <w:pStyle w:val="ListBullet"/>
      </w:pPr>
      <w:r>
        <w:t>python s7/eval_tripartita.py --mock-llm --max-oraciones 500</w:t>
      </w:r>
    </w:p>
    <w:p>
      <w:pPr>
        <w:pStyle w:val="ListBullet"/>
      </w:pPr>
      <w:r>
        <w:t>python s7/eval_idioma.py --mock-llm --subset 200</w:t>
      </w:r>
    </w:p>
    <w:p>
      <w:pPr>
        <w:pStyle w:val="ListBullet"/>
      </w:pPr>
      <w:r>
        <w:t>python s7/eval_tfidf_idioma.py</w:t>
      </w:r>
    </w:p>
    <w:p>
      <w:pPr>
        <w:pStyle w:val="ListBullet"/>
      </w:pPr>
      <w:r>
        <w:t>python s7/test_fallback.py</w:t>
      </w:r>
    </w:p>
    <w:p>
      <w:pPr>
        <w:pStyle w:val="ListBullet"/>
      </w:pPr>
      <w:r>
        <w:t>python s10/capture_demo.py</w:t>
      </w:r>
    </w:p>
    <w:p>
      <w:pPr>
        <w:pStyle w:val="ListBullet"/>
      </w:pPr>
      <w:r>
        <w:t>python s10/organize_evidencias.py</w:t>
      </w:r>
    </w:p>
    <w:p>
      <w:pPr>
        <w:pStyle w:val="ListBullet"/>
      </w:pPr>
      <w:r>
        <w:t>python s10/generate_informe.py</w:t>
      </w:r>
    </w:p>
    <w:p>
      <w:pPr>
        <w:pStyle w:val="ListBullet"/>
      </w:pPr>
      <w:r>
        <w:t>uvicorn api.main:app --reload --port 8000</w:t>
      </w:r>
    </w:p>
    <w:p>
      <w:pPr>
        <w:pStyle w:val="ListBullet"/>
      </w:pPr>
      <w:r>
        <w:t>cd frontend &amp;&amp; npm install &amp;&amp; npm run dev</w:t>
      </w:r>
    </w:p>
    <w:p>
      <w:pPr>
        <w:pStyle w:val="ListBullet"/>
      </w:pPr>
      <w:r>
        <w:t>streamlit run demo/app.py</w:t>
      </w:r>
    </w:p>
    <w:p>
      <w:r>
        <w:t>Anexo A — Evidencias cuantitativas y capturas en s10/evidencias/ del repositorio.</w:t>
      </w:r>
    </w:p>
    <w:p>
      <w:pPr>
        <w:pStyle w:val="Heading1"/>
      </w:pPr>
      <w:r>
        <w:t>11. Referencias</w:t>
      </w:r>
    </w:p>
    <w:p>
      <w:r>
        <w:t>Ben Abacha, A. B., et al. (2025). MEDEC: A Benchmark for Medical Error Detection and Correction in Clinical Notes.</w:t>
      </w:r>
    </w:p>
    <w:p>
      <w:r>
        <w:t>Repositorio del proyecto: https://github.com/marcoz1691/MIA_Deteccion_HC</w:t>
      </w:r>
    </w:p>
    <w:p>
      <w:r>
        <w:t>Documentación complementaria: s7/docs/informe_produccion.md, s7/docs/reporte_interpretabilidad_etica.md, s6/BITACORA.md, s10/README.md.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