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Faster Rust compilers: benefit and CI cost</w:t>
      </w:r>
    </w:p>
    <w:p>
      <w:r>
        <w:t>Goal: measure how PGO, ThinLTO and switching native linking tools from Microsoft to LLVM affect Rust compiler throughput and full-release CI cost.</w:t>
      </w:r>
    </w:p>
    <w:p>
      <w:pPr>
        <w:pStyle w:val="Heading2"/>
      </w:pPr>
      <w:r>
        <w:t>TL;DR</w:t>
      </w:r>
    </w:p>
    <w:p>
      <w:r>
        <w:rPr>
          <w:b/>
        </w:rPr>
        <w:t xml:space="preserve">The case: </w:t>
      </w:r>
      <w:r>
        <w:t>Microsoft-retained PGO cut IronRDP compile time by 24.6% on x64 and 24.4% on Arm64 (four-CPU pilots). The LLVM + ThinLTO recipe reached 28.7% and 27.9%. This supports prioritizing PGO; the extra LTO/linker-route benefit is smaller and is not isolated.</w:t>
      </w:r>
    </w:p>
    <w:p>
      <w:r>
        <w:rPr>
          <w:b/>
        </w:rPr>
        <w:t xml:space="preserve">The test: </w:t>
      </w:r>
      <w:r>
        <w:t>Same Rust revision, three full-release recipes, five cold offline IronRDP Cargo commands using the actual compilers and common Cargo/std; four correctness commands outside timing. All nine releases and three replays passed.</w:t>
      </w:r>
    </w:p>
    <w:p>
      <w:r>
        <w:rPr>
          <w:b/>
        </w:rPr>
        <w:t xml:space="preserve">The CI tradeoff: </w:t>
      </w:r>
      <w:r>
        <w:t>Four-CPU optimized jobs took 8.8-15.0 hours; 64-CPU Arm64 took 3.6-3.9 hours. Larger hosted runners merit sizing trials, not assumptions of linear CPU scaling.</w:t>
      </w:r>
    </w:p>
    <w:p>
      <w:r>
        <w:rPr>
          <w:b/>
        </w:rPr>
        <w:t xml:space="preserve">The boundary: </w:t>
      </w:r>
      <w:r>
        <w:t xml:space="preserve">Single-run self-hosted pilots. The no-PGO control is not Rust's shipped x64 PGO recipe; these are not incremental gains over today's shipped compiler. </w:t>
      </w:r>
      <w:hyperlink r:id="rId11">
        <w:r>
          <w:rPr>
            <w:color w:val="0563C1"/>
            <w:u w:val="single"/>
          </w:rPr>
          <w:t>Evidence, scripts and run links</w:t>
        </w:r>
      </w:hyperlink>
      <w:r>
        <w:t xml:space="preserve"> | </w:t>
      </w:r>
      <w:hyperlink r:id="rId12">
        <w:r>
          <w:rPr>
            <w:color w:val="0563C1"/>
            <w:u w:val="single"/>
          </w:rPr>
          <w:t>Experimental Rust revision</w:t>
        </w:r>
      </w:hyperlink>
    </w:p>
    <w:tbl>
      <w:tblPr>
        <w:tblStyle w:val="LightShading-Accent1"/>
        <w:tblW w:type="auto" w:w="0"/>
        <w:tblLayout w:type="fixed"/>
        <w:tblLook w:firstColumn="1" w:firstRow="1" w:lastColumn="0" w:lastRow="0" w:noHBand="0" w:noVBand="1" w:val="04A0"/>
      </w:tblPr>
      <w:tblGrid>
        <w:gridCol w:w="4536"/>
        <w:gridCol w:w="2160"/>
        <w:gridCol w:w="2160"/>
        <w:gridCol w:w="1656"/>
        <w:gridCol w:w="1512"/>
        <w:gridCol w:w="3240"/>
      </w:tblGrid>
      <w:tr>
        <w:trPr>
          <w:tblHeader/>
          <w:cantSplit/>
        </w:trPr>
        <w:tc>
          <w:tcPr>
            <w:tcW w:type="dxa" w:w="4536"/>
          </w:tcPr>
          <w:p>
            <w:pPr>
              <w:spacing w:after="40" w:before="40"/>
            </w:pPr>
            <w:r>
              <w:rPr>
                <w:sz w:val="18"/>
              </w:rPr>
              <w:t>CPU allocation / recipe</w:t>
            </w:r>
          </w:p>
        </w:tc>
        <w:tc>
          <w:tcPr>
            <w:tcW w:type="dxa" w:w="2160"/>
          </w:tcPr>
          <w:p>
            <w:pPr>
              <w:spacing w:after="40" w:before="40"/>
            </w:pPr>
            <w:r>
              <w:rPr>
                <w:sz w:val="18"/>
              </w:rPr>
              <w:t>Production min</w:t>
              <w:br/>
              <w:t>(increase)</w:t>
            </w:r>
          </w:p>
        </w:tc>
        <w:tc>
          <w:tcPr>
            <w:tcW w:type="dxa" w:w="2160"/>
          </w:tcPr>
          <w:p>
            <w:pPr>
              <w:spacing w:after="40" w:before="40"/>
            </w:pPr>
            <w:r>
              <w:rPr>
                <w:sz w:val="18"/>
              </w:rPr>
              <w:t>Whole job min</w:t>
              <w:br/>
              <w:t>(increase)</w:t>
            </w:r>
          </w:p>
        </w:tc>
        <w:tc>
          <w:tcPr>
            <w:tcW w:type="dxa" w:w="1656"/>
          </w:tcPr>
          <w:p>
            <w:pPr>
              <w:spacing w:after="40" w:before="40"/>
            </w:pPr>
            <w:r>
              <w:rPr>
                <w:sz w:val="18"/>
              </w:rPr>
              <w:t>Cleanup min</w:t>
              <w:br/>
              <w:t>within job</w:t>
            </w:r>
          </w:p>
        </w:tc>
        <w:tc>
          <w:tcPr>
            <w:tcW w:type="dxa" w:w="1512"/>
          </w:tcPr>
          <w:p>
            <w:pPr>
              <w:spacing w:after="40" w:before="40"/>
            </w:pPr>
            <w:r>
              <w:rPr>
                <w:sz w:val="18"/>
              </w:rPr>
              <w:t>IronRDP sec</w:t>
            </w:r>
          </w:p>
        </w:tc>
        <w:tc>
          <w:tcPr>
            <w:tcW w:type="dxa" w:w="3240"/>
          </w:tcPr>
          <w:p>
            <w:pPr>
              <w:spacing w:after="40" w:before="40"/>
            </w:pPr>
            <w:r>
              <w:rPr>
                <w:sz w:val="18"/>
              </w:rPr>
              <w:t>Compile-time</w:t>
              <w:br/>
              <w:t>saving</w:t>
            </w:r>
          </w:p>
        </w:tc>
      </w:tr>
      <w:tr>
        <w:trPr>
          <w:cantSplit/>
        </w:trPr>
        <w:tc>
          <w:tcPr>
            <w:tcW w:type="dxa" w:w="4536"/>
          </w:tcPr>
          <w:p>
            <w:pPr>
              <w:spacing w:after="40" w:before="40"/>
            </w:pPr>
            <w:r>
              <w:rPr>
                <w:sz w:val="18"/>
              </w:rPr>
              <w:t>x64 / 4 CPUs</w:t>
              <w:br/>
              <w:t>No PGO</w:t>
            </w:r>
          </w:p>
        </w:tc>
        <w:tc>
          <w:tcPr>
            <w:tcW w:type="dxa" w:w="2160"/>
          </w:tcPr>
          <w:p>
            <w:pPr>
              <w:spacing w:after="40" w:before="40"/>
            </w:pPr>
            <w:r>
              <w:rPr>
                <w:sz w:val="18"/>
              </w:rPr>
              <w:t>134.1</w:t>
              <w:br/>
              <w:t>Reference</w:t>
            </w:r>
          </w:p>
        </w:tc>
        <w:tc>
          <w:tcPr>
            <w:tcW w:type="dxa" w:w="2160"/>
          </w:tcPr>
          <w:p>
            <w:pPr>
              <w:spacing w:after="40" w:before="40"/>
            </w:pPr>
            <w:r>
              <w:rPr>
                <w:sz w:val="18"/>
              </w:rPr>
              <w:t>209.0</w:t>
              <w:br/>
              <w:t>Reference</w:t>
            </w:r>
          </w:p>
        </w:tc>
        <w:tc>
          <w:tcPr>
            <w:tcW w:type="dxa" w:w="1656"/>
          </w:tcPr>
          <w:p>
            <w:pPr>
              <w:spacing w:after="40" w:before="40"/>
            </w:pPr>
            <w:r>
              <w:rPr>
                <w:sz w:val="18"/>
              </w:rPr>
              <w:t>0.0</w:t>
            </w:r>
          </w:p>
        </w:tc>
        <w:tc>
          <w:tcPr>
            <w:tcW w:type="dxa" w:w="1512"/>
          </w:tcPr>
          <w:p>
            <w:pPr>
              <w:spacing w:after="40" w:before="40"/>
            </w:pPr>
            <w:r>
              <w:rPr>
                <w:sz w:val="18"/>
              </w:rPr>
              <w:t>737.3</w:t>
            </w:r>
          </w:p>
        </w:tc>
        <w:tc>
          <w:tcPr>
            <w:tcW w:type="dxa" w:w="3240"/>
          </w:tcPr>
          <w:p>
            <w:pPr>
              <w:spacing w:after="40" w:before="40"/>
            </w:pPr>
            <w:r>
              <w:rPr>
                <w:sz w:val="18"/>
              </w:rPr>
              <w:t>Reference</w:t>
            </w:r>
          </w:p>
        </w:tc>
      </w:tr>
      <w:tr>
        <w:trPr>
          <w:cantSplit/>
        </w:trPr>
        <w:tc>
          <w:tcPr>
            <w:tcW w:type="dxa" w:w="4536"/>
          </w:tcPr>
          <w:p>
            <w:pPr>
              <w:spacing w:after="40" w:before="40"/>
            </w:pPr>
            <w:r>
              <w:rPr>
                <w:sz w:val="18"/>
              </w:rPr>
              <w:t>x64 / 4 CPUs</w:t>
              <w:br/>
              <w:t>Microsoft-retained PGO</w:t>
            </w:r>
          </w:p>
        </w:tc>
        <w:tc>
          <w:tcPr>
            <w:tcW w:type="dxa" w:w="2160"/>
          </w:tcPr>
          <w:p>
            <w:pPr>
              <w:spacing w:after="40" w:before="40"/>
            </w:pPr>
            <w:r>
              <w:rPr>
                <w:sz w:val="18"/>
              </w:rPr>
              <w:t>548.1</w:t>
              <w:br/>
              <w:t>+308.7%</w:t>
            </w:r>
          </w:p>
        </w:tc>
        <w:tc>
          <w:tcPr>
            <w:tcW w:type="dxa" w:w="2160"/>
          </w:tcPr>
          <w:p>
            <w:pPr>
              <w:spacing w:after="40" w:before="40"/>
            </w:pPr>
            <w:r>
              <w:rPr>
                <w:sz w:val="18"/>
              </w:rPr>
              <w:t>637.5</w:t>
              <w:br/>
              <w:t>+205.0%</w:t>
            </w:r>
          </w:p>
        </w:tc>
        <w:tc>
          <w:tcPr>
            <w:tcW w:type="dxa" w:w="1656"/>
          </w:tcPr>
          <w:p>
            <w:pPr>
              <w:spacing w:after="40" w:before="40"/>
            </w:pPr>
            <w:r>
              <w:rPr>
                <w:sz w:val="18"/>
              </w:rPr>
              <w:t>10.5</w:t>
            </w:r>
          </w:p>
        </w:tc>
        <w:tc>
          <w:tcPr>
            <w:tcW w:type="dxa" w:w="1512"/>
          </w:tcPr>
          <w:p>
            <w:pPr>
              <w:spacing w:after="40" w:before="40"/>
            </w:pPr>
            <w:r>
              <w:rPr>
                <w:sz w:val="18"/>
              </w:rPr>
              <w:t>555.8</w:t>
            </w:r>
          </w:p>
        </w:tc>
        <w:tc>
          <w:tcPr>
            <w:tcW w:type="dxa" w:w="3240"/>
          </w:tcPr>
          <w:p>
            <w:pPr>
              <w:spacing w:after="40" w:before="40"/>
            </w:pPr>
            <w:r>
              <w:rPr>
                <w:sz w:val="18"/>
              </w:rPr>
              <w:t>24.6%</w:t>
            </w:r>
          </w:p>
        </w:tc>
      </w:tr>
      <w:tr>
        <w:trPr>
          <w:cantSplit/>
        </w:trPr>
        <w:tc>
          <w:tcPr>
            <w:tcW w:type="dxa" w:w="4536"/>
          </w:tcPr>
          <w:p>
            <w:pPr>
              <w:spacing w:after="40" w:before="40"/>
            </w:pPr>
            <w:r>
              <w:rPr>
                <w:sz w:val="18"/>
              </w:rPr>
              <w:t>x64 / 4 CPUs</w:t>
              <w:br/>
              <w:t>LLVM route: PGO + ThinLTO</w:t>
            </w:r>
          </w:p>
        </w:tc>
        <w:tc>
          <w:tcPr>
            <w:tcW w:type="dxa" w:w="2160"/>
          </w:tcPr>
          <w:p>
            <w:pPr>
              <w:spacing w:after="40" w:before="40"/>
            </w:pPr>
            <w:r>
              <w:rPr>
                <w:sz w:val="18"/>
              </w:rPr>
              <w:t>787.3</w:t>
              <w:br/>
              <w:t>+487.0%</w:t>
            </w:r>
          </w:p>
        </w:tc>
        <w:tc>
          <w:tcPr>
            <w:tcW w:type="dxa" w:w="2160"/>
          </w:tcPr>
          <w:p>
            <w:pPr>
              <w:spacing w:after="40" w:before="40"/>
            </w:pPr>
            <w:r>
              <w:rPr>
                <w:sz w:val="18"/>
              </w:rPr>
              <w:t>898.3</w:t>
              <w:br/>
              <w:t>+329.8%</w:t>
            </w:r>
          </w:p>
        </w:tc>
        <w:tc>
          <w:tcPr>
            <w:tcW w:type="dxa" w:w="1656"/>
          </w:tcPr>
          <w:p>
            <w:pPr>
              <w:spacing w:after="40" w:before="40"/>
            </w:pPr>
            <w:r>
              <w:rPr>
                <w:sz w:val="18"/>
              </w:rPr>
              <w:t>10.6</w:t>
            </w:r>
          </w:p>
        </w:tc>
        <w:tc>
          <w:tcPr>
            <w:tcW w:type="dxa" w:w="1512"/>
          </w:tcPr>
          <w:p>
            <w:pPr>
              <w:spacing w:after="40" w:before="40"/>
            </w:pPr>
            <w:r>
              <w:rPr>
                <w:sz w:val="18"/>
              </w:rPr>
              <w:t>526.0</w:t>
            </w:r>
          </w:p>
        </w:tc>
        <w:tc>
          <w:tcPr>
            <w:tcW w:type="dxa" w:w="3240"/>
          </w:tcPr>
          <w:p>
            <w:pPr>
              <w:spacing w:after="40" w:before="40"/>
            </w:pPr>
            <w:r>
              <w:rPr>
                <w:sz w:val="18"/>
              </w:rPr>
              <w:t>28.7%</w:t>
            </w:r>
          </w:p>
        </w:tc>
      </w:tr>
      <w:tr>
        <w:trPr>
          <w:cantSplit/>
        </w:trPr>
        <w:tc>
          <w:tcPr>
            <w:tcW w:type="dxa" w:w="4536"/>
          </w:tcPr>
          <w:p>
            <w:pPr>
              <w:spacing w:after="40" w:before="40"/>
            </w:pPr>
            <w:r>
              <w:rPr>
                <w:sz w:val="18"/>
              </w:rPr>
              <w:t>Arm64 / 4 CPUs</w:t>
              <w:br/>
              <w:t>No PGO</w:t>
            </w:r>
          </w:p>
        </w:tc>
        <w:tc>
          <w:tcPr>
            <w:tcW w:type="dxa" w:w="2160"/>
          </w:tcPr>
          <w:p>
            <w:pPr>
              <w:spacing w:after="40" w:before="40"/>
            </w:pPr>
            <w:r>
              <w:rPr>
                <w:sz w:val="18"/>
              </w:rPr>
              <w:t>180.1</w:t>
              <w:br/>
              <w:t>Reference</w:t>
            </w:r>
          </w:p>
        </w:tc>
        <w:tc>
          <w:tcPr>
            <w:tcW w:type="dxa" w:w="2160"/>
          </w:tcPr>
          <w:p>
            <w:pPr>
              <w:spacing w:after="40" w:before="40"/>
            </w:pPr>
            <w:r>
              <w:rPr>
                <w:sz w:val="18"/>
              </w:rPr>
              <w:t>277.9</w:t>
              <w:br/>
              <w:t>Reference</w:t>
            </w:r>
          </w:p>
        </w:tc>
        <w:tc>
          <w:tcPr>
            <w:tcW w:type="dxa" w:w="1656"/>
          </w:tcPr>
          <w:p>
            <w:pPr>
              <w:spacing w:after="40" w:before="40"/>
            </w:pPr>
            <w:r>
              <w:rPr>
                <w:sz w:val="18"/>
              </w:rPr>
              <w:t>0.0</w:t>
            </w:r>
          </w:p>
        </w:tc>
        <w:tc>
          <w:tcPr>
            <w:tcW w:type="dxa" w:w="1512"/>
          </w:tcPr>
          <w:p>
            <w:pPr>
              <w:spacing w:after="40" w:before="40"/>
            </w:pPr>
            <w:r>
              <w:rPr>
                <w:sz w:val="18"/>
              </w:rPr>
              <w:t>1348.5</w:t>
            </w:r>
          </w:p>
        </w:tc>
        <w:tc>
          <w:tcPr>
            <w:tcW w:type="dxa" w:w="3240"/>
          </w:tcPr>
          <w:p>
            <w:pPr>
              <w:spacing w:after="40" w:before="40"/>
            </w:pPr>
            <w:r>
              <w:rPr>
                <w:sz w:val="18"/>
              </w:rPr>
              <w:t>Reference</w:t>
            </w:r>
          </w:p>
        </w:tc>
      </w:tr>
      <w:tr>
        <w:trPr>
          <w:cantSplit/>
        </w:trPr>
        <w:tc>
          <w:tcPr>
            <w:tcW w:type="dxa" w:w="4536"/>
          </w:tcPr>
          <w:p>
            <w:pPr>
              <w:spacing w:after="40" w:before="40"/>
            </w:pPr>
            <w:r>
              <w:rPr>
                <w:sz w:val="18"/>
              </w:rPr>
              <w:t>Arm64 / 4 CPUs</w:t>
              <w:br/>
              <w:t>Microsoft-retained PGO</w:t>
            </w:r>
          </w:p>
        </w:tc>
        <w:tc>
          <w:tcPr>
            <w:tcW w:type="dxa" w:w="2160"/>
          </w:tcPr>
          <w:p>
            <w:pPr>
              <w:spacing w:after="40" w:before="40"/>
            </w:pPr>
            <w:r>
              <w:rPr>
                <w:sz w:val="18"/>
              </w:rPr>
              <w:t>431.9</w:t>
              <w:br/>
              <w:t>+139.8%</w:t>
            </w:r>
          </w:p>
        </w:tc>
        <w:tc>
          <w:tcPr>
            <w:tcW w:type="dxa" w:w="2160"/>
          </w:tcPr>
          <w:p>
            <w:pPr>
              <w:spacing w:after="40" w:before="40"/>
            </w:pPr>
            <w:r>
              <w:rPr>
                <w:sz w:val="18"/>
              </w:rPr>
              <w:t>528.5</w:t>
              <w:br/>
              <w:t>+90.1%</w:t>
            </w:r>
          </w:p>
        </w:tc>
        <w:tc>
          <w:tcPr>
            <w:tcW w:type="dxa" w:w="1656"/>
          </w:tcPr>
          <w:p>
            <w:pPr>
              <w:spacing w:after="40" w:before="40"/>
            </w:pPr>
            <w:r>
              <w:rPr>
                <w:sz w:val="18"/>
              </w:rPr>
              <w:t>2.3</w:t>
            </w:r>
          </w:p>
        </w:tc>
        <w:tc>
          <w:tcPr>
            <w:tcW w:type="dxa" w:w="1512"/>
          </w:tcPr>
          <w:p>
            <w:pPr>
              <w:spacing w:after="40" w:before="40"/>
            </w:pPr>
            <w:r>
              <w:rPr>
                <w:sz w:val="18"/>
              </w:rPr>
              <w:t>1018.9</w:t>
            </w:r>
          </w:p>
        </w:tc>
        <w:tc>
          <w:tcPr>
            <w:tcW w:type="dxa" w:w="3240"/>
          </w:tcPr>
          <w:p>
            <w:pPr>
              <w:spacing w:after="40" w:before="40"/>
            </w:pPr>
            <w:r>
              <w:rPr>
                <w:sz w:val="18"/>
              </w:rPr>
              <w:t>24.4%</w:t>
            </w:r>
          </w:p>
        </w:tc>
      </w:tr>
      <w:tr>
        <w:trPr>
          <w:cantSplit/>
        </w:trPr>
        <w:tc>
          <w:tcPr>
            <w:tcW w:type="dxa" w:w="4536"/>
          </w:tcPr>
          <w:p>
            <w:pPr>
              <w:spacing w:after="40" w:before="40"/>
            </w:pPr>
            <w:r>
              <w:rPr>
                <w:sz w:val="18"/>
              </w:rPr>
              <w:t>Arm64 / 4 CPUs</w:t>
              <w:br/>
              <w:t>LLVM route: PGO + ThinLTO</w:t>
            </w:r>
          </w:p>
        </w:tc>
        <w:tc>
          <w:tcPr>
            <w:tcW w:type="dxa" w:w="2160"/>
          </w:tcPr>
          <w:p>
            <w:pPr>
              <w:spacing w:after="40" w:before="40"/>
            </w:pPr>
            <w:r>
              <w:rPr>
                <w:sz w:val="18"/>
              </w:rPr>
              <w:t>656.4</w:t>
              <w:br/>
              <w:t>+264.5%</w:t>
            </w:r>
          </w:p>
        </w:tc>
        <w:tc>
          <w:tcPr>
            <w:tcW w:type="dxa" w:w="2160"/>
          </w:tcPr>
          <w:p>
            <w:pPr>
              <w:spacing w:after="40" w:before="40"/>
            </w:pPr>
            <w:r>
              <w:rPr>
                <w:sz w:val="18"/>
              </w:rPr>
              <w:t>760.0</w:t>
              <w:br/>
              <w:t>+173.4%</w:t>
            </w:r>
          </w:p>
        </w:tc>
        <w:tc>
          <w:tcPr>
            <w:tcW w:type="dxa" w:w="1656"/>
          </w:tcPr>
          <w:p>
            <w:pPr>
              <w:spacing w:after="40" w:before="40"/>
            </w:pPr>
            <w:r>
              <w:rPr>
                <w:sz w:val="18"/>
              </w:rPr>
              <w:t>2.6</w:t>
            </w:r>
          </w:p>
        </w:tc>
        <w:tc>
          <w:tcPr>
            <w:tcW w:type="dxa" w:w="1512"/>
          </w:tcPr>
          <w:p>
            <w:pPr>
              <w:spacing w:after="40" w:before="40"/>
            </w:pPr>
            <w:r>
              <w:rPr>
                <w:sz w:val="18"/>
              </w:rPr>
              <w:t>972.7</w:t>
            </w:r>
          </w:p>
        </w:tc>
        <w:tc>
          <w:tcPr>
            <w:tcW w:type="dxa" w:w="3240"/>
          </w:tcPr>
          <w:p>
            <w:pPr>
              <w:spacing w:after="40" w:before="40"/>
            </w:pPr>
            <w:r>
              <w:rPr>
                <w:sz w:val="18"/>
              </w:rPr>
              <w:t>27.9%</w:t>
            </w:r>
          </w:p>
        </w:tc>
      </w:tr>
      <w:tr>
        <w:trPr>
          <w:cantSplit/>
        </w:trPr>
        <w:tc>
          <w:tcPr>
            <w:tcW w:type="dxa" w:w="4536"/>
          </w:tcPr>
          <w:p>
            <w:pPr>
              <w:spacing w:after="40" w:before="40"/>
            </w:pPr>
            <w:r>
              <w:rPr>
                <w:sz w:val="18"/>
              </w:rPr>
              <w:t>Arm64 / 64 CPUs</w:t>
              <w:br/>
              <w:t>No PGO</w:t>
            </w:r>
          </w:p>
        </w:tc>
        <w:tc>
          <w:tcPr>
            <w:tcW w:type="dxa" w:w="2160"/>
          </w:tcPr>
          <w:p>
            <w:pPr>
              <w:spacing w:after="40" w:before="40"/>
            </w:pPr>
            <w:r>
              <w:rPr>
                <w:sz w:val="18"/>
              </w:rPr>
              <w:t>138.5</w:t>
              <w:br/>
              <w:t>Reference</w:t>
            </w:r>
          </w:p>
        </w:tc>
        <w:tc>
          <w:tcPr>
            <w:tcW w:type="dxa" w:w="2160"/>
          </w:tcPr>
          <w:p>
            <w:pPr>
              <w:spacing w:after="40" w:before="40"/>
            </w:pPr>
            <w:r>
              <w:rPr>
                <w:sz w:val="18"/>
              </w:rPr>
              <w:t>168.1</w:t>
              <w:br/>
              <w:t>Reference</w:t>
            </w:r>
          </w:p>
        </w:tc>
        <w:tc>
          <w:tcPr>
            <w:tcW w:type="dxa" w:w="1656"/>
          </w:tcPr>
          <w:p>
            <w:pPr>
              <w:spacing w:after="40" w:before="40"/>
            </w:pPr>
            <w:r>
              <w:rPr>
                <w:sz w:val="18"/>
              </w:rPr>
              <w:t>0.0</w:t>
            </w:r>
          </w:p>
        </w:tc>
        <w:tc>
          <w:tcPr>
            <w:tcW w:type="dxa" w:w="1512"/>
          </w:tcPr>
          <w:p>
            <w:pPr>
              <w:spacing w:after="40" w:before="40"/>
            </w:pPr>
            <w:r>
              <w:rPr>
                <w:sz w:val="18"/>
              </w:rPr>
              <w:t>200.3</w:t>
            </w:r>
          </w:p>
        </w:tc>
        <w:tc>
          <w:tcPr>
            <w:tcW w:type="dxa" w:w="3240"/>
          </w:tcPr>
          <w:p>
            <w:pPr>
              <w:spacing w:after="40" w:before="40"/>
            </w:pPr>
            <w:r>
              <w:rPr>
                <w:sz w:val="18"/>
              </w:rPr>
              <w:t>Reference</w:t>
            </w:r>
          </w:p>
        </w:tc>
      </w:tr>
      <w:tr>
        <w:trPr>
          <w:cantSplit/>
        </w:trPr>
        <w:tc>
          <w:tcPr>
            <w:tcW w:type="dxa" w:w="4536"/>
          </w:tcPr>
          <w:p>
            <w:pPr>
              <w:spacing w:after="40" w:before="40"/>
            </w:pPr>
            <w:r>
              <w:rPr>
                <w:sz w:val="18"/>
              </w:rPr>
              <w:t>Arm64 / 64 CPUs</w:t>
              <w:br/>
              <w:t>Microsoft-retained PGO</w:t>
            </w:r>
          </w:p>
        </w:tc>
        <w:tc>
          <w:tcPr>
            <w:tcW w:type="dxa" w:w="2160"/>
          </w:tcPr>
          <w:p>
            <w:pPr>
              <w:spacing w:after="40" w:before="40"/>
            </w:pPr>
            <w:r>
              <w:rPr>
                <w:sz w:val="18"/>
              </w:rPr>
              <w:t>182.6</w:t>
              <w:br/>
              <w:t>+31.8%</w:t>
            </w:r>
          </w:p>
        </w:tc>
        <w:tc>
          <w:tcPr>
            <w:tcW w:type="dxa" w:w="2160"/>
          </w:tcPr>
          <w:p>
            <w:pPr>
              <w:spacing w:after="40" w:before="40"/>
            </w:pPr>
            <w:r>
              <w:rPr>
                <w:sz w:val="18"/>
              </w:rPr>
              <w:t>215.2</w:t>
              <w:br/>
              <w:t>+28.1%</w:t>
            </w:r>
          </w:p>
        </w:tc>
        <w:tc>
          <w:tcPr>
            <w:tcW w:type="dxa" w:w="1656"/>
          </w:tcPr>
          <w:p>
            <w:pPr>
              <w:spacing w:after="40" w:before="40"/>
            </w:pPr>
            <w:r>
              <w:rPr>
                <w:sz w:val="18"/>
              </w:rPr>
              <w:t>3.6</w:t>
            </w:r>
          </w:p>
        </w:tc>
        <w:tc>
          <w:tcPr>
            <w:tcW w:type="dxa" w:w="1512"/>
          </w:tcPr>
          <w:p>
            <w:pPr>
              <w:spacing w:after="40" w:before="40"/>
            </w:pPr>
            <w:r>
              <w:rPr>
                <w:sz w:val="18"/>
              </w:rPr>
              <w:t>157.3</w:t>
            </w:r>
          </w:p>
        </w:tc>
        <w:tc>
          <w:tcPr>
            <w:tcW w:type="dxa" w:w="3240"/>
          </w:tcPr>
          <w:p>
            <w:pPr>
              <w:spacing w:after="40" w:before="40"/>
            </w:pPr>
            <w:r>
              <w:rPr>
                <w:sz w:val="18"/>
              </w:rPr>
              <w:t>21.5%</w:t>
            </w:r>
          </w:p>
        </w:tc>
      </w:tr>
      <w:tr>
        <w:trPr>
          <w:cantSplit/>
        </w:trPr>
        <w:tc>
          <w:tcPr>
            <w:tcW w:type="dxa" w:w="4536"/>
          </w:tcPr>
          <w:p>
            <w:pPr>
              <w:spacing w:after="40" w:before="40"/>
            </w:pPr>
            <w:r>
              <w:rPr>
                <w:sz w:val="18"/>
              </w:rPr>
              <w:t>Arm64 / 64 CPUs</w:t>
              <w:br/>
              <w:t>LLVM route: PGO + ThinLTO</w:t>
            </w:r>
          </w:p>
        </w:tc>
        <w:tc>
          <w:tcPr>
            <w:tcW w:type="dxa" w:w="2160"/>
          </w:tcPr>
          <w:p>
            <w:pPr>
              <w:spacing w:after="40" w:before="40"/>
            </w:pPr>
            <w:r>
              <w:rPr>
                <w:sz w:val="18"/>
              </w:rPr>
              <w:t>203.3</w:t>
              <w:br/>
              <w:t>+46.8%</w:t>
            </w:r>
          </w:p>
        </w:tc>
        <w:tc>
          <w:tcPr>
            <w:tcW w:type="dxa" w:w="2160"/>
          </w:tcPr>
          <w:p>
            <w:pPr>
              <w:spacing w:after="40" w:before="40"/>
            </w:pPr>
            <w:r>
              <w:rPr>
                <w:sz w:val="18"/>
              </w:rPr>
              <w:t>236.2</w:t>
              <w:br/>
              <w:t>+40.5%</w:t>
            </w:r>
          </w:p>
        </w:tc>
        <w:tc>
          <w:tcPr>
            <w:tcW w:type="dxa" w:w="1656"/>
          </w:tcPr>
          <w:p>
            <w:pPr>
              <w:spacing w:after="40" w:before="40"/>
            </w:pPr>
            <w:r>
              <w:rPr>
                <w:sz w:val="18"/>
              </w:rPr>
              <w:t>4.0</w:t>
            </w:r>
          </w:p>
        </w:tc>
        <w:tc>
          <w:tcPr>
            <w:tcW w:type="dxa" w:w="1512"/>
          </w:tcPr>
          <w:p>
            <w:pPr>
              <w:spacing w:after="40" w:before="40"/>
            </w:pPr>
            <w:r>
              <w:rPr>
                <w:sz w:val="18"/>
              </w:rPr>
              <w:t>156.3</w:t>
            </w:r>
          </w:p>
        </w:tc>
        <w:tc>
          <w:tcPr>
            <w:tcW w:type="dxa" w:w="3240"/>
          </w:tcPr>
          <w:p>
            <w:pPr>
              <w:spacing w:after="40" w:before="40"/>
            </w:pPr>
            <w:r>
              <w:rPr>
                <w:sz w:val="18"/>
              </w:rPr>
              <w:t>22.0%</w:t>
            </w:r>
          </w:p>
        </w:tc>
      </w:tr>
    </w:tbl>
    <w:p>
      <w:r>
        <w:t>CPU counts are allowed logical CPUs/build workers: Intel Core i9-11900 (4 of 16), NVIDIA N1X (4 of 20), and NVIDIA Grace A02P (64 of 72). Hardware differs; do not interpret rows as an architecture-controlled comparison or a 4-to-64 CPU scaling experiment.</w:t>
      </w:r>
    </w:p>
    <w:p>
      <w:r>
        <w:t>Production includes fresh PGO training, builds and full packaging: tools, docs, MSI and Arm64EC where applicable. Whole jobs add setup, qualification, uploads and cleanup. Baseline cleanup occurred outside its job. IronRDP is the sum of five offline native commands, excluding setup and correctness; savings are elapsed compile time, not application runtime.</w:t>
      </w:r>
    </w:p>
    <w:p>
      <w:r>
        <w:br w:type="page"/>
      </w:r>
    </w:p>
    <w:p>
      <w:pPr>
        <w:pStyle w:val="Title"/>
      </w:pPr>
      <w:r>
        <w:t>CI feasibility: stay below the six-hour job limit</w:t>
      </w:r>
    </w:p>
    <w:p>
      <w:r>
        <w:t xml:space="preserve">GitHub's 360-minute execution limit applies to all GitHub-hosted jobs, including larger runners; buying a larger runner does not extend it. Plan for 300 minutes, leaving 60 minutes of headroom. The successful long jobs above used self-hosted runners, not an exception to the hosted limit. </w:t>
      </w:r>
      <w:hyperlink r:id="rId13">
        <w:r>
          <w:rPr>
            <w:color w:val="0563C1"/>
            <w:u w:val="single"/>
          </w:rPr>
          <w:t>GitHub Actions limits</w:t>
        </w:r>
      </w:hyperlink>
    </w:p>
    <w:p>
      <w:pPr>
        <w:pStyle w:val="Heading2"/>
      </w:pPr>
      <w:r>
        <w:t>What faster production must deliver</w:t>
      </w:r>
    </w:p>
    <w:p>
      <w:r>
        <w:t>Projection: T(S) = P / S + O. P is measured full production minutes; O is measured whole-job minutes minus P (setup, tests, transfers and cleanup); S is the achieved speedup of the entire production interval, not the CPU-count multiplier. Hold O fixed rather than pretending every minute scales. This is a sensitivity model anchored to these machines, not a hosted forecast or a guaranteed upper bound; hosted CPU, disk, networking and overhead can differ.</w:t>
      </w:r>
    </w:p>
    <w:tbl>
      <w:tblPr>
        <w:tblStyle w:val="LightShading-Accent1"/>
        <w:tblW w:type="auto" w:w="0"/>
        <w:tblLayout w:type="fixed"/>
        <w:tblLook w:firstColumn="1" w:firstRow="1" w:lastColumn="0" w:lastRow="0" w:noHBand="0" w:noVBand="1" w:val="04A0"/>
      </w:tblPr>
      <w:tblGrid>
        <w:gridCol w:w="4320"/>
        <w:gridCol w:w="1872"/>
        <w:gridCol w:w="2160"/>
        <w:gridCol w:w="2160"/>
        <w:gridCol w:w="2160"/>
        <w:gridCol w:w="2592"/>
      </w:tblGrid>
      <w:tr>
        <w:trPr>
          <w:tblHeader/>
          <w:cantSplit/>
        </w:trPr>
        <w:tc>
          <w:tcPr>
            <w:tcW w:type="dxa" w:w="4320"/>
          </w:tcPr>
          <w:p>
            <w:pPr>
              <w:spacing w:after="40" w:before="40"/>
            </w:pPr>
            <w:r>
              <w:rPr>
                <w:sz w:val="20"/>
              </w:rPr>
              <w:t>Four-CPU reference</w:t>
            </w:r>
          </w:p>
        </w:tc>
        <w:tc>
          <w:tcPr>
            <w:tcW w:type="dxa" w:w="1872"/>
          </w:tcPr>
          <w:p>
            <w:pPr>
              <w:spacing w:after="40" w:before="40"/>
            </w:pPr>
            <w:r>
              <w:rPr>
                <w:sz w:val="20"/>
              </w:rPr>
              <w:t>Observed</w:t>
              <w:br/>
              <w:t>job min</w:t>
            </w:r>
          </w:p>
        </w:tc>
        <w:tc>
          <w:tcPr>
            <w:tcW w:type="dxa" w:w="2160"/>
          </w:tcPr>
          <w:p>
            <w:pPr>
              <w:spacing w:after="40" w:before="40"/>
            </w:pPr>
            <w:r>
              <w:rPr>
                <w:sz w:val="20"/>
              </w:rPr>
              <w:t>At 2x</w:t>
              <w:br/>
              <w:t>production</w:t>
            </w:r>
          </w:p>
        </w:tc>
        <w:tc>
          <w:tcPr>
            <w:tcW w:type="dxa" w:w="2160"/>
          </w:tcPr>
          <w:p>
            <w:pPr>
              <w:spacing w:after="40" w:before="40"/>
            </w:pPr>
            <w:r>
              <w:rPr>
                <w:sz w:val="20"/>
              </w:rPr>
              <w:t>At 3x</w:t>
              <w:br/>
              <w:t>production</w:t>
            </w:r>
          </w:p>
        </w:tc>
        <w:tc>
          <w:tcPr>
            <w:tcW w:type="dxa" w:w="2160"/>
          </w:tcPr>
          <w:p>
            <w:pPr>
              <w:spacing w:after="40" w:before="40"/>
            </w:pPr>
            <w:r>
              <w:rPr>
                <w:sz w:val="20"/>
              </w:rPr>
              <w:t>At 4x</w:t>
              <w:br/>
              <w:t>production</w:t>
            </w:r>
          </w:p>
        </w:tc>
        <w:tc>
          <w:tcPr>
            <w:tcW w:type="dxa" w:w="2592"/>
          </w:tcPr>
          <w:p>
            <w:pPr>
              <w:spacing w:after="40" w:before="40"/>
            </w:pPr>
            <w:r>
              <w:rPr>
                <w:sz w:val="20"/>
              </w:rPr>
              <w:t>Speedup for</w:t>
              <w:br/>
              <w:t>360 / 300 min</w:t>
            </w:r>
          </w:p>
        </w:tc>
      </w:tr>
      <w:tr>
        <w:trPr>
          <w:cantSplit/>
        </w:trPr>
        <w:tc>
          <w:tcPr>
            <w:tcW w:type="dxa" w:w="4320"/>
          </w:tcPr>
          <w:p>
            <w:pPr>
              <w:spacing w:after="40" w:before="40"/>
            </w:pPr>
            <w:r>
              <w:rPr>
                <w:sz w:val="20"/>
              </w:rPr>
              <w:t>x64 / Microsoft PGO</w:t>
            </w:r>
          </w:p>
        </w:tc>
        <w:tc>
          <w:tcPr>
            <w:tcW w:type="dxa" w:w="1872"/>
          </w:tcPr>
          <w:p>
            <w:pPr>
              <w:spacing w:after="40" w:before="40"/>
            </w:pPr>
            <w:r>
              <w:rPr>
                <w:sz w:val="20"/>
              </w:rPr>
              <w:t>637.5</w:t>
            </w:r>
          </w:p>
        </w:tc>
        <w:tc>
          <w:tcPr>
            <w:tcW w:type="dxa" w:w="2160"/>
          </w:tcPr>
          <w:p>
            <w:pPr>
              <w:spacing w:after="40" w:before="40"/>
            </w:pPr>
            <w:r>
              <w:rPr>
                <w:sz w:val="20"/>
              </w:rPr>
              <w:t>363.5 min</w:t>
            </w:r>
          </w:p>
        </w:tc>
        <w:tc>
          <w:tcPr>
            <w:tcW w:type="dxa" w:w="2160"/>
          </w:tcPr>
          <w:p>
            <w:pPr>
              <w:spacing w:after="40" w:before="40"/>
            </w:pPr>
            <w:r>
              <w:rPr>
                <w:sz w:val="20"/>
              </w:rPr>
              <w:t>272.1 min</w:t>
            </w:r>
          </w:p>
        </w:tc>
        <w:tc>
          <w:tcPr>
            <w:tcW w:type="dxa" w:w="2160"/>
          </w:tcPr>
          <w:p>
            <w:pPr>
              <w:spacing w:after="40" w:before="40"/>
            </w:pPr>
            <w:r>
              <w:rPr>
                <w:sz w:val="20"/>
              </w:rPr>
              <w:t>226.4 min</w:t>
            </w:r>
          </w:p>
        </w:tc>
        <w:tc>
          <w:tcPr>
            <w:tcW w:type="dxa" w:w="2592"/>
          </w:tcPr>
          <w:p>
            <w:pPr>
              <w:spacing w:after="40" w:before="40"/>
            </w:pPr>
            <w:r>
              <w:rPr>
                <w:sz w:val="20"/>
              </w:rPr>
              <w:t>2.03x / 2.60x</w:t>
            </w:r>
          </w:p>
        </w:tc>
      </w:tr>
      <w:tr>
        <w:trPr>
          <w:cantSplit/>
        </w:trPr>
        <w:tc>
          <w:tcPr>
            <w:tcW w:type="dxa" w:w="4320"/>
          </w:tcPr>
          <w:p>
            <w:pPr>
              <w:spacing w:after="40" w:before="40"/>
            </w:pPr>
            <w:r>
              <w:rPr>
                <w:sz w:val="20"/>
              </w:rPr>
              <w:t>x64 / LLVM + ThinLTO</w:t>
            </w:r>
          </w:p>
        </w:tc>
        <w:tc>
          <w:tcPr>
            <w:tcW w:type="dxa" w:w="1872"/>
          </w:tcPr>
          <w:p>
            <w:pPr>
              <w:spacing w:after="40" w:before="40"/>
            </w:pPr>
            <w:r>
              <w:rPr>
                <w:sz w:val="20"/>
              </w:rPr>
              <w:t>898.3</w:t>
            </w:r>
          </w:p>
        </w:tc>
        <w:tc>
          <w:tcPr>
            <w:tcW w:type="dxa" w:w="2160"/>
          </w:tcPr>
          <w:p>
            <w:pPr>
              <w:spacing w:after="40" w:before="40"/>
            </w:pPr>
            <w:r>
              <w:rPr>
                <w:sz w:val="20"/>
              </w:rPr>
              <w:t>504.7 min</w:t>
            </w:r>
          </w:p>
        </w:tc>
        <w:tc>
          <w:tcPr>
            <w:tcW w:type="dxa" w:w="2160"/>
          </w:tcPr>
          <w:p>
            <w:pPr>
              <w:spacing w:after="40" w:before="40"/>
            </w:pPr>
            <w:r>
              <w:rPr>
                <w:sz w:val="20"/>
              </w:rPr>
              <w:t>373.5 min</w:t>
            </w:r>
          </w:p>
        </w:tc>
        <w:tc>
          <w:tcPr>
            <w:tcW w:type="dxa" w:w="2160"/>
          </w:tcPr>
          <w:p>
            <w:pPr>
              <w:spacing w:after="40" w:before="40"/>
            </w:pPr>
            <w:r>
              <w:rPr>
                <w:sz w:val="20"/>
              </w:rPr>
              <w:t>307.9 min</w:t>
            </w:r>
          </w:p>
        </w:tc>
        <w:tc>
          <w:tcPr>
            <w:tcW w:type="dxa" w:w="2592"/>
          </w:tcPr>
          <w:p>
            <w:pPr>
              <w:spacing w:after="40" w:before="40"/>
            </w:pPr>
            <w:r>
              <w:rPr>
                <w:sz w:val="20"/>
              </w:rPr>
              <w:t>3.16x / 4.17x</w:t>
            </w:r>
          </w:p>
        </w:tc>
      </w:tr>
      <w:tr>
        <w:trPr>
          <w:cantSplit/>
        </w:trPr>
        <w:tc>
          <w:tcPr>
            <w:tcW w:type="dxa" w:w="4320"/>
          </w:tcPr>
          <w:p>
            <w:pPr>
              <w:spacing w:after="40" w:before="40"/>
            </w:pPr>
            <w:r>
              <w:rPr>
                <w:sz w:val="20"/>
              </w:rPr>
              <w:t>Arm64 / Microsoft PGO</w:t>
            </w:r>
          </w:p>
        </w:tc>
        <w:tc>
          <w:tcPr>
            <w:tcW w:type="dxa" w:w="1872"/>
          </w:tcPr>
          <w:p>
            <w:pPr>
              <w:spacing w:after="40" w:before="40"/>
            </w:pPr>
            <w:r>
              <w:rPr>
                <w:sz w:val="20"/>
              </w:rPr>
              <w:t>528.5</w:t>
            </w:r>
          </w:p>
        </w:tc>
        <w:tc>
          <w:tcPr>
            <w:tcW w:type="dxa" w:w="2160"/>
          </w:tcPr>
          <w:p>
            <w:pPr>
              <w:spacing w:after="40" w:before="40"/>
            </w:pPr>
            <w:r>
              <w:rPr>
                <w:sz w:val="20"/>
              </w:rPr>
              <w:t>312.5 min</w:t>
            </w:r>
          </w:p>
        </w:tc>
        <w:tc>
          <w:tcPr>
            <w:tcW w:type="dxa" w:w="2160"/>
          </w:tcPr>
          <w:p>
            <w:pPr>
              <w:spacing w:after="40" w:before="40"/>
            </w:pPr>
            <w:r>
              <w:rPr>
                <w:sz w:val="20"/>
              </w:rPr>
              <w:t>240.5 min</w:t>
            </w:r>
          </w:p>
        </w:tc>
        <w:tc>
          <w:tcPr>
            <w:tcW w:type="dxa" w:w="2160"/>
          </w:tcPr>
          <w:p>
            <w:pPr>
              <w:spacing w:after="40" w:before="40"/>
            </w:pPr>
            <w:r>
              <w:rPr>
                <w:sz w:val="20"/>
              </w:rPr>
              <w:t>204.5 min</w:t>
            </w:r>
          </w:p>
        </w:tc>
        <w:tc>
          <w:tcPr>
            <w:tcW w:type="dxa" w:w="2592"/>
          </w:tcPr>
          <w:p>
            <w:pPr>
              <w:spacing w:after="40" w:before="40"/>
            </w:pPr>
            <w:r>
              <w:rPr>
                <w:sz w:val="20"/>
              </w:rPr>
              <w:t>1.64x / 2.12x</w:t>
            </w:r>
          </w:p>
        </w:tc>
      </w:tr>
      <w:tr>
        <w:trPr>
          <w:cantSplit/>
        </w:trPr>
        <w:tc>
          <w:tcPr>
            <w:tcW w:type="dxa" w:w="4320"/>
          </w:tcPr>
          <w:p>
            <w:pPr>
              <w:spacing w:after="40" w:before="40"/>
            </w:pPr>
            <w:r>
              <w:rPr>
                <w:sz w:val="20"/>
              </w:rPr>
              <w:t>Arm64 / LLVM + ThinLTO</w:t>
            </w:r>
          </w:p>
        </w:tc>
        <w:tc>
          <w:tcPr>
            <w:tcW w:type="dxa" w:w="1872"/>
          </w:tcPr>
          <w:p>
            <w:pPr>
              <w:spacing w:after="40" w:before="40"/>
            </w:pPr>
            <w:r>
              <w:rPr>
                <w:sz w:val="20"/>
              </w:rPr>
              <w:t>760.0</w:t>
            </w:r>
          </w:p>
        </w:tc>
        <w:tc>
          <w:tcPr>
            <w:tcW w:type="dxa" w:w="2160"/>
          </w:tcPr>
          <w:p>
            <w:pPr>
              <w:spacing w:after="40" w:before="40"/>
            </w:pPr>
            <w:r>
              <w:rPr>
                <w:sz w:val="20"/>
              </w:rPr>
              <w:t>431.8 min</w:t>
            </w:r>
          </w:p>
        </w:tc>
        <w:tc>
          <w:tcPr>
            <w:tcW w:type="dxa" w:w="2160"/>
          </w:tcPr>
          <w:p>
            <w:pPr>
              <w:spacing w:after="40" w:before="40"/>
            </w:pPr>
            <w:r>
              <w:rPr>
                <w:sz w:val="20"/>
              </w:rPr>
              <w:t>322.4 min</w:t>
            </w:r>
          </w:p>
        </w:tc>
        <w:tc>
          <w:tcPr>
            <w:tcW w:type="dxa" w:w="2160"/>
          </w:tcPr>
          <w:p>
            <w:pPr>
              <w:spacing w:after="40" w:before="40"/>
            </w:pPr>
            <w:r>
              <w:rPr>
                <w:sz w:val="20"/>
              </w:rPr>
              <w:t>267.7 min</w:t>
            </w:r>
          </w:p>
        </w:tc>
        <w:tc>
          <w:tcPr>
            <w:tcW w:type="dxa" w:w="2592"/>
          </w:tcPr>
          <w:p>
            <w:pPr>
              <w:spacing w:after="40" w:before="40"/>
            </w:pPr>
            <w:r>
              <w:rPr>
                <w:sz w:val="20"/>
              </w:rPr>
              <w:t>2.56x / 3.34x</w:t>
            </w:r>
          </w:p>
        </w:tc>
      </w:tr>
    </w:tbl>
    <w:p>
      <w:r>
        <w:t>Implication: a 2x production speedup is insufficient for x64 Microsoft PGO and both LLVM recipes. Around 3x brings both Microsoft recipes below the 300-minute target, but not either LLVM recipe; 4x still leaves x64 LLVM at about 308 minutes. Its 300-minute target needs about 4.17x, or an overhead/staging improvement. Thresholds above are rounded, not safety margins.</w:t>
      </w:r>
    </w:p>
    <w:p>
      <w:pPr>
        <w:pStyle w:val="Heading2"/>
      </w:pPr>
      <w:r>
        <w:t>Bigger runners: candidate capacities, not promised scaling</w:t>
      </w:r>
    </w:p>
    <w:tbl>
      <w:tblPr>
        <w:tblStyle w:val="LightShading-Accent1"/>
        <w:tblW w:type="auto" w:w="0"/>
        <w:tblLayout w:type="fixed"/>
        <w:tblLook w:firstColumn="1" w:firstRow="1" w:lastColumn="0" w:lastRow="0" w:noHBand="0" w:noVBand="1" w:val="04A0"/>
      </w:tblPr>
      <w:tblGrid>
        <w:gridCol w:w="3024"/>
        <w:gridCol w:w="4464"/>
        <w:gridCol w:w="7776"/>
      </w:tblGrid>
      <w:tr>
        <w:trPr>
          <w:tblHeader/>
          <w:cantSplit/>
        </w:trPr>
        <w:tc>
          <w:tcPr>
            <w:tcW w:type="dxa" w:w="3024"/>
          </w:tcPr>
          <w:p>
            <w:pPr>
              <w:spacing w:after="40" w:before="40"/>
            </w:pPr>
            <w:r>
              <w:rPr>
                <w:sz w:val="20"/>
              </w:rPr>
              <w:t>Candidate Windows runner</w:t>
            </w:r>
          </w:p>
        </w:tc>
        <w:tc>
          <w:tcPr>
            <w:tcW w:type="dxa" w:w="4464"/>
          </w:tcPr>
          <w:p>
            <w:pPr>
              <w:spacing w:after="40" w:before="40"/>
            </w:pPr>
            <w:r>
              <w:rPr>
                <w:sz w:val="20"/>
              </w:rPr>
              <w:t>RAM / SSD (GitHub specifications)</w:t>
            </w:r>
          </w:p>
        </w:tc>
        <w:tc>
          <w:tcPr>
            <w:tcW w:type="dxa" w:w="7776"/>
          </w:tcPr>
          <w:p>
            <w:pPr>
              <w:spacing w:after="40" w:before="40"/>
            </w:pPr>
            <w:r>
              <w:rPr>
                <w:sz w:val="20"/>
              </w:rPr>
              <w:t>Proposed use</w:t>
            </w:r>
          </w:p>
        </w:tc>
      </w:tr>
      <w:tr>
        <w:trPr>
          <w:cantSplit/>
        </w:trPr>
        <w:tc>
          <w:tcPr>
            <w:tcW w:type="dxa" w:w="3024"/>
          </w:tcPr>
          <w:p>
            <w:pPr>
              <w:spacing w:after="40" w:before="40"/>
            </w:pPr>
            <w:r>
              <w:rPr>
                <w:sz w:val="20"/>
              </w:rPr>
              <w:t>16 vCPUs, x64 or Arm64</w:t>
            </w:r>
          </w:p>
        </w:tc>
        <w:tc>
          <w:tcPr>
            <w:tcW w:type="dxa" w:w="4464"/>
          </w:tcPr>
          <w:p>
            <w:pPr>
              <w:spacing w:after="40" w:before="40"/>
            </w:pPr>
            <w:r>
              <w:rPr>
                <w:sz w:val="20"/>
              </w:rPr>
              <w:t>64 GB / 600 GB</w:t>
            </w:r>
          </w:p>
        </w:tc>
        <w:tc>
          <w:tcPr>
            <w:tcW w:type="dxa" w:w="7776"/>
          </w:tcPr>
          <w:p>
            <w:pPr>
              <w:spacing w:after="40" w:before="40"/>
            </w:pPr>
            <w:r>
              <w:rPr>
                <w:sz w:val="20"/>
              </w:rPr>
              <w:t>First paid sizing trial for Microsoft-retained PGO; accept only after whole-job measurements.</w:t>
            </w:r>
          </w:p>
        </w:tc>
      </w:tr>
      <w:tr>
        <w:trPr>
          <w:cantSplit/>
        </w:trPr>
        <w:tc>
          <w:tcPr>
            <w:tcW w:type="dxa" w:w="3024"/>
          </w:tcPr>
          <w:p>
            <w:pPr>
              <w:spacing w:after="40" w:before="40"/>
            </w:pPr>
            <w:r>
              <w:rPr>
                <w:sz w:val="20"/>
              </w:rPr>
              <w:t>32 vCPUs, x64 or Arm64</w:t>
            </w:r>
          </w:p>
        </w:tc>
        <w:tc>
          <w:tcPr>
            <w:tcW w:type="dxa" w:w="4464"/>
          </w:tcPr>
          <w:p>
            <w:pPr>
              <w:spacing w:after="40" w:before="40"/>
            </w:pPr>
            <w:r>
              <w:rPr>
                <w:sz w:val="20"/>
              </w:rPr>
              <w:t>128 GB / 1,200 GB</w:t>
            </w:r>
          </w:p>
        </w:tc>
        <w:tc>
          <w:tcPr>
            <w:tcW w:type="dxa" w:w="7776"/>
          </w:tcPr>
          <w:p>
            <w:pPr>
              <w:spacing w:after="40" w:before="40"/>
            </w:pPr>
            <w:r>
              <w:rPr>
                <w:sz w:val="20"/>
              </w:rPr>
              <w:t>Trial for LLVM + ThinLTO or a missed 16-vCPU budget; profile links, merges and memory.</w:t>
            </w:r>
          </w:p>
        </w:tc>
      </w:tr>
      <w:tr>
        <w:trPr>
          <w:cantSplit/>
        </w:trPr>
        <w:tc>
          <w:tcPr>
            <w:tcW w:type="dxa" w:w="3024"/>
          </w:tcPr>
          <w:p>
            <w:pPr>
              <w:spacing w:after="40" w:before="40"/>
            </w:pPr>
            <w:r>
              <w:rPr>
                <w:sz w:val="20"/>
              </w:rPr>
              <w:t>64 vCPUs</w:t>
            </w:r>
          </w:p>
        </w:tc>
        <w:tc>
          <w:tcPr>
            <w:tcW w:type="dxa" w:w="4464"/>
          </w:tcPr>
          <w:p>
            <w:pPr>
              <w:spacing w:after="40" w:before="40"/>
            </w:pPr>
            <w:r>
              <w:rPr>
                <w:sz w:val="20"/>
              </w:rPr>
              <w:t>x64: 256 GB; Arm64: 208 GB / 2,040 GB SSD</w:t>
            </w:r>
          </w:p>
        </w:tc>
        <w:tc>
          <w:tcPr>
            <w:tcW w:type="dxa" w:w="7776"/>
          </w:tcPr>
          <w:p>
            <w:pPr>
              <w:spacing w:after="40" w:before="40"/>
            </w:pPr>
            <w:r>
              <w:rPr>
                <w:sz w:val="20"/>
              </w:rPr>
              <w:t>Escalation candidate if measured bottlenecks scale; not equivalent to the 64-CPU pilot hardware.</w:t>
            </w:r>
          </w:p>
        </w:tc>
      </w:tr>
    </w:tbl>
    <w:p>
      <w:r>
        <w:t>The measured 64-CPU Arm64 jobs completed in 215.2 minutes (Microsoft PGO) and 236.2 minutes (LLVM + ThinLTO), showing feasibility on one well-resourced machine. It had about 495 GiB RAM and different CPU/storage, so this is not a prediction for GitHub's 208-GB Arm64 runner. The training collector still used four Cargo jobs; extra cores alone do not accelerate every stage.</w:t>
      </w:r>
    </w:p>
    <w:p>
      <w:r>
        <w:t xml:space="preserve">Choose the smallest configuration that repeatedly completes under 300 minutes with adequate memory/disk headroom. Larger runners are billed even for public repositories; lower wall time does not necessarily mean lower cost. Budget per run = billed minutes x runner rate. </w:t>
      </w:r>
      <w:hyperlink r:id="rId14">
        <w:r>
          <w:rPr>
            <w:color w:val="0563C1"/>
            <w:u w:val="single"/>
          </w:rPr>
          <w:t>Runner sizes</w:t>
        </w:r>
      </w:hyperlink>
      <w:r>
        <w:t xml:space="preserve"> | </w:t>
      </w:r>
      <w:hyperlink r:id="rId15">
        <w:r>
          <w:rPr>
            <w:color w:val="0563C1"/>
            <w:u w:val="single"/>
          </w:rPr>
          <w:t>Larger-runner billing</w:t>
        </w:r>
      </w:hyperlink>
    </w:p>
    <w:p>
      <w:r>
        <w:br w:type="page"/>
      </w:r>
    </w:p>
    <w:p>
      <w:pPr>
        <w:pStyle w:val="Title"/>
      </w:pPr>
      <w:r>
        <w:t>Recommendation to Rust maintainers</w:t>
      </w:r>
    </w:p>
    <w:p>
      <w:r>
        <w:t>Prioritize expanding or improving compiler PGO where it is absent or incomplete, with a separate evidence gate for ThinLTO and changing native linking tools. The repeat-use benefit to downstream developers is substantial in this workload; release engineering cost is paid per produced compiler. Fleet-wide savings or financial break-even need workload-volume and runner-price data and are not established here.</w:t>
      </w:r>
    </w:p>
    <w:p>
      <w:pPr>
        <w:pStyle w:val="Heading2"/>
      </w:pPr>
      <w:r>
        <w:t>What the three recipes actually compare</w:t>
      </w:r>
    </w:p>
    <w:tbl>
      <w:tblPr>
        <w:tblStyle w:val="LightShading-Accent1"/>
        <w:tblW w:type="auto" w:w="0"/>
        <w:tblLayout w:type="fixed"/>
        <w:tblLook w:firstColumn="1" w:firstRow="1" w:lastColumn="0" w:lastRow="0" w:noHBand="0" w:noVBand="1" w:val="04A0"/>
      </w:tblPr>
      <w:tblGrid>
        <w:gridCol w:w="3024"/>
        <w:gridCol w:w="2520"/>
        <w:gridCol w:w="3960"/>
        <w:gridCol w:w="5760"/>
      </w:tblGrid>
      <w:tr>
        <w:trPr>
          <w:tblHeader/>
          <w:cantSplit/>
        </w:trPr>
        <w:tc>
          <w:tcPr>
            <w:tcW w:type="dxa" w:w="3024"/>
          </w:tcPr>
          <w:p>
            <w:pPr>
              <w:spacing w:after="40" w:before="40"/>
            </w:pPr>
            <w:r>
              <w:rPr>
                <w:sz w:val="20"/>
              </w:rPr>
              <w:t>Recipe</w:t>
            </w:r>
          </w:p>
        </w:tc>
        <w:tc>
          <w:tcPr>
            <w:tcW w:type="dxa" w:w="2520"/>
          </w:tcPr>
          <w:p>
            <w:pPr>
              <w:spacing w:after="40" w:before="40"/>
            </w:pPr>
            <w:r>
              <w:rPr>
                <w:sz w:val="20"/>
              </w:rPr>
              <w:t>Native C++ compiler</w:t>
            </w:r>
          </w:p>
        </w:tc>
        <w:tc>
          <w:tcPr>
            <w:tcW w:type="dxa" w:w="3960"/>
          </w:tcPr>
          <w:p>
            <w:pPr>
              <w:spacing w:after="40" w:before="40"/>
            </w:pPr>
            <w:r>
              <w:rPr>
                <w:sz w:val="20"/>
              </w:rPr>
              <w:t>Native linker / librarian</w:t>
            </w:r>
          </w:p>
        </w:tc>
        <w:tc>
          <w:tcPr>
            <w:tcW w:type="dxa" w:w="5760"/>
          </w:tcPr>
          <w:p>
            <w:pPr>
              <w:spacing w:after="40" w:before="40"/>
            </w:pPr>
            <w:r>
              <w:rPr>
                <w:sz w:val="20"/>
              </w:rPr>
              <w:t>Optimization</w:t>
            </w:r>
          </w:p>
        </w:tc>
      </w:tr>
      <w:tr>
        <w:trPr>
          <w:cantSplit/>
        </w:trPr>
        <w:tc>
          <w:tcPr>
            <w:tcW w:type="dxa" w:w="3024"/>
          </w:tcPr>
          <w:p>
            <w:pPr>
              <w:spacing w:after="40" w:before="40"/>
            </w:pPr>
            <w:r>
              <w:rPr>
                <w:sz w:val="20"/>
              </w:rPr>
              <w:t>No-PGO control</w:t>
            </w:r>
          </w:p>
        </w:tc>
        <w:tc>
          <w:tcPr>
            <w:tcW w:type="dxa" w:w="2520"/>
          </w:tcPr>
          <w:p>
            <w:pPr>
              <w:spacing w:after="40" w:before="40"/>
            </w:pPr>
            <w:r>
              <w:rPr>
                <w:sz w:val="20"/>
              </w:rPr>
              <w:t>clang-cl</w:t>
            </w:r>
          </w:p>
        </w:tc>
        <w:tc>
          <w:tcPr>
            <w:tcW w:type="dxa" w:w="3960"/>
          </w:tcPr>
          <w:p>
            <w:pPr>
              <w:spacing w:after="40" w:before="40"/>
            </w:pPr>
            <w:r>
              <w:rPr>
                <w:sz w:val="20"/>
              </w:rPr>
              <w:t>Microsoft link.exe / lib.exe</w:t>
            </w:r>
          </w:p>
        </w:tc>
        <w:tc>
          <w:tcPr>
            <w:tcW w:type="dxa" w:w="5760"/>
          </w:tcPr>
          <w:p>
            <w:pPr>
              <w:spacing w:after="40" w:before="40"/>
            </w:pPr>
            <w:r>
              <w:rPr>
                <w:sz w:val="20"/>
              </w:rPr>
              <w:t>No PGO; LLVM/Rust cross-crate ThinLTO off</w:t>
            </w:r>
          </w:p>
        </w:tc>
      </w:tr>
      <w:tr>
        <w:trPr>
          <w:cantSplit/>
        </w:trPr>
        <w:tc>
          <w:tcPr>
            <w:tcW w:type="dxa" w:w="3024"/>
          </w:tcPr>
          <w:p>
            <w:pPr>
              <w:spacing w:after="40" w:before="40"/>
            </w:pPr>
            <w:r>
              <w:rPr>
                <w:sz w:val="20"/>
              </w:rPr>
              <w:t>Microsoft-retained PGO</w:t>
            </w:r>
          </w:p>
        </w:tc>
        <w:tc>
          <w:tcPr>
            <w:tcW w:type="dxa" w:w="2520"/>
          </w:tcPr>
          <w:p>
            <w:pPr>
              <w:spacing w:after="40" w:before="40"/>
            </w:pPr>
            <w:r>
              <w:rPr>
                <w:sz w:val="20"/>
              </w:rPr>
              <w:t>Same clang-cl</w:t>
            </w:r>
          </w:p>
        </w:tc>
        <w:tc>
          <w:tcPr>
            <w:tcW w:type="dxa" w:w="3960"/>
          </w:tcPr>
          <w:p>
            <w:pPr>
              <w:spacing w:after="40" w:before="40"/>
            </w:pPr>
            <w:r>
              <w:rPr>
                <w:sz w:val="20"/>
              </w:rPr>
              <w:t>Same Microsoft tools</w:t>
            </w:r>
          </w:p>
        </w:tc>
        <w:tc>
          <w:tcPr>
            <w:tcW w:type="dxa" w:w="5760"/>
          </w:tcPr>
          <w:p>
            <w:pPr>
              <w:spacing w:after="40" w:before="40"/>
            </w:pPr>
            <w:r>
              <w:rPr>
                <w:sz w:val="20"/>
              </w:rPr>
              <w:t>Fresh full-tool/frontend/backend PGO; ThinLTO off</w:t>
            </w:r>
          </w:p>
        </w:tc>
      </w:tr>
      <w:tr>
        <w:trPr>
          <w:cantSplit/>
        </w:trPr>
        <w:tc>
          <w:tcPr>
            <w:tcW w:type="dxa" w:w="3024"/>
          </w:tcPr>
          <w:p>
            <w:pPr>
              <w:spacing w:after="40" w:before="40"/>
            </w:pPr>
            <w:r>
              <w:rPr>
                <w:sz w:val="20"/>
              </w:rPr>
              <w:t>LLVM route</w:t>
            </w:r>
          </w:p>
        </w:tc>
        <w:tc>
          <w:tcPr>
            <w:tcW w:type="dxa" w:w="2520"/>
          </w:tcPr>
          <w:p>
            <w:pPr>
              <w:spacing w:after="40" w:before="40"/>
            </w:pPr>
            <w:r>
              <w:rPr>
                <w:sz w:val="20"/>
              </w:rPr>
              <w:t>Same clang-cl</w:t>
            </w:r>
          </w:p>
        </w:tc>
        <w:tc>
          <w:tcPr>
            <w:tcW w:type="dxa" w:w="3960"/>
          </w:tcPr>
          <w:p>
            <w:pPr>
              <w:spacing w:after="40" w:before="40"/>
            </w:pPr>
            <w:r>
              <w:rPr>
                <w:sz w:val="20"/>
              </w:rPr>
              <w:t>LLVM lld-link / llvm-lib</w:t>
            </w:r>
          </w:p>
        </w:tc>
        <w:tc>
          <w:tcPr>
            <w:tcW w:type="dxa" w:w="5760"/>
          </w:tcPr>
          <w:p>
            <w:pPr>
              <w:spacing w:after="40" w:before="40"/>
            </w:pPr>
            <w:r>
              <w:rPr>
                <w:sz w:val="20"/>
              </w:rPr>
              <w:t>Fresh PGO plus final LLVM and Rust ThinLTO</w:t>
            </w:r>
          </w:p>
        </w:tc>
      </w:tr>
    </w:tbl>
    <w:p>
      <w:r>
        <w:t>Rust already uses LLVM for code generation, and all three recipes use clang-cl. 'LLVM route' means changing native linker/librarian and enabling ThinLTO, not replacing a Microsoft codegen backend. Fresh profiles differ between optimized releases. Therefore the additional 5.36% x64 / 4.54% ordinary Arm64 improvement over Microsoft PGO belongs to the combined recipe, not LTO or the linker alone. The 64-CPU Arm64 difference was just 0.65%.</w:t>
      </w:r>
    </w:p>
    <w:p>
      <w:pPr>
        <w:pStyle w:val="Heading2"/>
      </w:pPr>
      <w:r>
        <w:t>Practical adoption and CI plan</w:t>
      </w:r>
    </w:p>
    <w:p>
      <w:r>
        <w:rPr>
          <w:b/>
        </w:rPr>
        <w:t xml:space="preserve">1. Establish the PGO case. </w:t>
      </w:r>
      <w:r>
        <w:t>Keep clang-cl/link.exe/lib.exe for the lowest-change route. Reproduce the roughly 24% four-CPU compile-time reductions across representative rustc-perf workloads, cold and incremental builds, with independent repeats and confidence intervals. Compare against today's shipped compiler as well as no PGO before claiming an upstream incremental gain.</w:t>
      </w:r>
    </w:p>
    <w:p>
      <w:r>
        <w:rPr>
          <w:b/>
        </w:rPr>
        <w:t xml:space="preserve">2. Size for a 300-minute whole-job budget. </w:t>
      </w:r>
      <w:r>
        <w:t>Measure 16- and 32-vCPU configurations first, including qualification and uploads, not just compilation. Record per-stage CPU, memory and I/O; tune training and link concurrency only with correctness and memory checks. Parallel jobs reduce matrix makespan, not an individual job's 360-minute exposure. The 64-CPU results demonstrate an option, not a universal scaling law.</w:t>
      </w:r>
    </w:p>
    <w:p>
      <w:r>
        <w:rPr>
          <w:b/>
        </w:rPr>
        <w:t xml:space="preserve">3. Gate the extra ThinLTO/linker complexity. </w:t>
      </w:r>
      <w:r>
        <w:t>The LLVM route adds 239.2 production minutes on x64 and 224.5 on ordinary Arm64 over Microsoft PGO, for another 29.8 and 46.2 seconds saved per IronRDP sequence. Use controlled same-profile/same-linker comparisons to identify the useful contribution. Include Rust-side LTO with Microsoft linking where compatible; LLVM native ThinLTO bitcode is not Microsoft /LTCG.</w:t>
      </w:r>
    </w:p>
    <w:p>
      <w:r>
        <w:rPr>
          <w:b/>
        </w:rPr>
        <w:t xml:space="preserve">4. Restructure only after profiling. </w:t>
      </w:r>
      <w:r>
        <w:t>If larger runners still miss budget, separate fresh training, final build and qualification at explicit artifact boundaries. Every job must fit 360 minutes; record transfer/rebuild overhead and total end-to-end cost. Avoid wasted LTO in discarded training compilers (already disabled in this recipe). Versioned profile reuse is a different, unmeasured policy requiring freshness and correctness gates; do not count it as a measured saving here.</w:t>
      </w:r>
    </w:p>
    <w:p>
      <w:pPr>
        <w:pStyle w:val="Heading2"/>
      </w:pPr>
      <w:r>
        <w:t>Evidence boundaries and provenance</w:t>
      </w:r>
    </w:p>
    <w:p>
      <w:r>
        <w:t>One qualified release per recipe/machine and one paired IronRDP round: no confidence intervals or claim of broad workload generality. All five native compile commands and four original correctness commands passed for every accepted compiler. Failed runs were excluded, not partially reused. x64 and ordinary Arm64 correctness-only temp files moved from ReFS to NTFS; timed builds stayed on their original volumes. An earlier 64-CPU UDP shutdown failure remains unexplained despite passing diagnostics and a fresh complete replay.</w:t>
      </w:r>
    </w:p>
    <w:p>
      <w:r>
        <w:t>The pinned experimental Rust source includes profiling-runtime, stack and linkage repairs needed for qualification; those changes also require maintainer review. Full tools/docs/MSI and applicable backends/Arm64EC were retained. This is not a compiler-only cost estimate, a Linux performance claim, or a completed repeated GitHub-hosted study.</w:t>
      </w:r>
    </w:p>
    <w:p>
      <w:hyperlink r:id="rId11">
        <w:r>
          <w:rPr>
            <w:color w:val="0563C1"/>
            <w:u w:val="single"/>
          </w:rPr>
          <w:t>Benchmark fork and exact evidence snapshot</w:t>
        </w:r>
      </w:hyperlink>
      <w:r>
        <w:t xml:space="preserve"> | </w:t>
      </w:r>
      <w:hyperlink r:id="rId12">
        <w:r>
          <w:rPr>
            <w:color w:val="0563C1"/>
            <w:u w:val="single"/>
          </w:rPr>
          <w:t>Rust source and implementation changes</w:t>
        </w:r>
      </w:hyperlink>
      <w:r>
        <w:t xml:space="preserve"> | </w:t>
      </w:r>
      <w:hyperlink r:id="rId16">
        <w:r>
          <w:rPr>
            <w:color w:val="0563C1"/>
            <w:u w:val="single"/>
          </w:rPr>
          <w:t>Raw timings and component breakdown</w:t>
        </w:r>
      </w:hyperlink>
    </w:p>
    <w:p>
      <w:r>
        <w:t>Rust 7db17d9b5bbe; IronRDP 0c5419eca6bf. Accepted replays: x64 38636440191; Arm64/4 38695519744; Arm64/64 38441909371. GitHub limits, sizes and billing documentation consulted 15 October 2026. Numerical projections are assumptions for sizing trials, not new measurements.</w:t>
      </w:r>
    </w:p>
    <w:sectPr w:rsidR="00FC693F" w:rsidRPr="0006063C" w:rsidSect="00034616">
      <w:headerReference w:type="default" r:id="rId9"/>
      <w:footerReference w:type="default" r:id="rId10"/>
      <w:pgSz w:w="16848" w:h="11952" w:orient="landscape"/>
      <w:pgMar w:top="648"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Measured self-hosted pilots; larger-runner timings are projections.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RUST COMPILER OPTIMIZATION  |  MAINTAINER BRIEF  |  15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Calibri" w:hAnsi="Calibri"/>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rcpems/IronRDP-ci-benchmark/tree/e0ffffde/ci-benchmark/matched-release" TargetMode="External"/><Relationship Id="rId12" Type="http://schemas.openxmlformats.org/officeDocument/2006/relationships/hyperlink" Target="https://github.com/marcpems/rust-arm64-compiler-ab/commit/7db17d9b5bbe6b16be2dc86b4bfae81d6e1ae238" TargetMode="External"/><Relationship Id="rId13" Type="http://schemas.openxmlformats.org/officeDocument/2006/relationships/hyperlink" Target="https://docs.github.com/en/actions/reference/limits" TargetMode="External"/><Relationship Id="rId14" Type="http://schemas.openxmlformats.org/officeDocument/2006/relationships/hyperlink" Target="https://docs.github.com/en/actions/reference/runners/larger-runners" TargetMode="External"/><Relationship Id="rId15" Type="http://schemas.openxmlformats.org/officeDocument/2006/relationships/hyperlink" Target="https://docs.github.com/en/actions/concepts/runners/larger-runners#billing" TargetMode="External"/><Relationship Id="rId16" Type="http://schemas.openxmlformats.org/officeDocument/2006/relationships/hyperlink" Target="https://github.com/marcpems/IronRDP-ci-benchmark/blob/e0ffffde/ci-benchmark/matched-release/selfhost-pilot-results.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