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7365D"/>
          <w:sz w:val="36"/>
        </w:rPr>
        <w:t>Windows Rust compiler performance</w:t>
      </w:r>
    </w:p>
    <w:p>
      <w:pPr>
        <w:spacing w:after="80"/>
      </w:pPr>
      <w:r>
        <w:rPr>
          <w:b w:val="0"/>
          <w:sz w:val="18"/>
        </w:rPr>
        <w:t>Consolidated investigation report | 2 October 2026 | Measured Rust 1.94.1</w:t>
      </w:r>
    </w:p>
    <w:p>
      <w:pPr>
        <w:pStyle w:val="Heading1"/>
      </w:pPr>
      <w:r>
        <w:t>1. Goal</w:t>
      </w:r>
    </w:p>
    <w:p>
      <w:r>
        <w:rPr>
          <w:b w:val="0"/>
        </w:rPr>
        <w:t>Reduce the observed Windows/Linux Rust compiler performance gap, using IronRDP as a real-project benchmark, while keeping the compiler changes small and upstream CI/release production reliable. All experiments and publications remain in forks.</w:t>
      </w:r>
    </w:p>
    <w:p>
      <w:pPr>
        <w:pStyle w:val="Heading1"/>
      </w:pPr>
      <w:r>
        <w:t>2. Original observations</w:t>
      </w:r>
    </w:p>
    <w:p>
      <w:pPr>
        <w:spacing w:after="80"/>
      </w:pPr>
      <w:r>
        <w:rPr>
          <w:b w:val="0"/>
          <w:sz w:val="18"/>
        </w:rPr>
        <w:t>The initial native compilation sequence reproduced a substantial, but not universal 2x, Windows penalty. Wall seconds below are medians of three standard GitHub runners per platform; setup, downloads, uploads and test execution are excluded. [1]</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cantSplit/>
        </w:trPr>
        <w:tc>
          <w:tcPr>
            <w:tcW w:type="dxa" w:w="1944"/>
            <w:shd w:fill="17365D"/>
            <w:vAlign w:val="center"/>
          </w:tcPr>
          <w:p>
            <w:pPr>
              <w:spacing w:before="60" w:after="60" w:line="240" w:lineRule="auto"/>
            </w:pPr>
            <w:r>
              <w:rPr>
                <w:b/>
                <w:color w:val="FFFFFF"/>
                <w:sz w:val="19"/>
              </w:rPr>
              <w:t>Architecture</w:t>
            </w:r>
          </w:p>
        </w:tc>
        <w:tc>
          <w:tcPr>
            <w:tcW w:type="dxa" w:w="2160"/>
            <w:shd w:fill="17365D"/>
            <w:vAlign w:val="center"/>
          </w:tcPr>
          <w:p>
            <w:pPr>
              <w:spacing w:before="60" w:after="60" w:line="240" w:lineRule="auto"/>
              <w:jc w:val="center"/>
            </w:pPr>
            <w:r>
              <w:rPr>
                <w:b/>
                <w:color w:val="FFFFFF"/>
                <w:sz w:val="19"/>
              </w:rPr>
              <w:t>Linux (s)</w:t>
            </w:r>
          </w:p>
        </w:tc>
        <w:tc>
          <w:tcPr>
            <w:tcW w:type="dxa" w:w="2160"/>
            <w:shd w:fill="17365D"/>
            <w:vAlign w:val="center"/>
          </w:tcPr>
          <w:p>
            <w:pPr>
              <w:spacing w:before="60" w:after="60" w:line="240" w:lineRule="auto"/>
              <w:jc w:val="center"/>
            </w:pPr>
            <w:r>
              <w:rPr>
                <w:b/>
                <w:color w:val="FFFFFF"/>
                <w:sz w:val="19"/>
              </w:rPr>
              <w:t>Windows (s)</w:t>
            </w:r>
          </w:p>
        </w:tc>
        <w:tc>
          <w:tcPr>
            <w:tcW w:type="dxa" w:w="3773"/>
            <w:shd w:fill="17365D"/>
            <w:vAlign w:val="center"/>
          </w:tcPr>
          <w:p>
            <w:pPr>
              <w:spacing w:before="60" w:after="60" w:line="240" w:lineRule="auto"/>
              <w:jc w:val="center"/>
            </w:pPr>
            <w:r>
              <w:rPr>
                <w:b/>
                <w:color w:val="FFFFFF"/>
                <w:sz w:val="19"/>
              </w:rPr>
              <w:t>Windows / Linux</w:t>
            </w:r>
          </w:p>
        </w:tc>
      </w:tr>
      <w:tr>
        <w:trPr>
          <w:cantSplit/>
        </w:trPr>
        <w:tc>
          <w:tcPr>
            <w:tcW w:type="dxa" w:w="1944"/>
            <w:shd w:fill="EEF3F8"/>
            <w:vAlign w:val="center"/>
          </w:tcPr>
          <w:p>
            <w:pPr>
              <w:spacing w:before="60" w:after="60" w:line="240" w:lineRule="auto"/>
            </w:pPr>
            <w:r>
              <w:rPr>
                <w:sz w:val="19"/>
              </w:rPr>
              <w:t>x64</w:t>
            </w:r>
          </w:p>
        </w:tc>
        <w:tc>
          <w:tcPr>
            <w:tcW w:type="dxa" w:w="2160"/>
            <w:shd w:fill="EEF3F8"/>
            <w:vAlign w:val="center"/>
          </w:tcPr>
          <w:p>
            <w:pPr>
              <w:spacing w:before="60" w:after="60" w:line="240" w:lineRule="auto"/>
              <w:jc w:val="center"/>
            </w:pPr>
            <w:r>
              <w:rPr>
                <w:sz w:val="19"/>
              </w:rPr>
              <w:t>555.03</w:t>
            </w:r>
          </w:p>
        </w:tc>
        <w:tc>
          <w:tcPr>
            <w:tcW w:type="dxa" w:w="2160"/>
            <w:shd w:fill="EEF3F8"/>
            <w:vAlign w:val="center"/>
          </w:tcPr>
          <w:p>
            <w:pPr>
              <w:spacing w:before="60" w:after="60" w:line="240" w:lineRule="auto"/>
              <w:jc w:val="center"/>
            </w:pPr>
            <w:r>
              <w:rPr>
                <w:sz w:val="19"/>
              </w:rPr>
              <w:t>1,008.89</w:t>
            </w:r>
          </w:p>
        </w:tc>
        <w:tc>
          <w:tcPr>
            <w:tcW w:type="dxa" w:w="3773"/>
            <w:shd w:fill="EEF3F8"/>
            <w:vAlign w:val="center"/>
          </w:tcPr>
          <w:p>
            <w:pPr>
              <w:spacing w:before="60" w:after="60" w:line="240" w:lineRule="auto"/>
              <w:jc w:val="center"/>
            </w:pPr>
            <w:r>
              <w:rPr>
                <w:sz w:val="19"/>
              </w:rPr>
              <w:t>1.82x</w:t>
            </w:r>
          </w:p>
        </w:tc>
      </w:tr>
      <w:tr>
        <w:trPr>
          <w:cantSplit/>
        </w:trPr>
        <w:tc>
          <w:tcPr>
            <w:tcW w:type="dxa" w:w="1944"/>
            <w:vAlign w:val="center"/>
          </w:tcPr>
          <w:p>
            <w:pPr>
              <w:spacing w:before="60" w:after="60" w:line="240" w:lineRule="auto"/>
            </w:pPr>
            <w:r>
              <w:rPr>
                <w:sz w:val="19"/>
              </w:rPr>
              <w:t>Arm64</w:t>
            </w:r>
          </w:p>
        </w:tc>
        <w:tc>
          <w:tcPr>
            <w:tcW w:type="dxa" w:w="2160"/>
            <w:vAlign w:val="center"/>
          </w:tcPr>
          <w:p>
            <w:pPr>
              <w:spacing w:before="60" w:after="60" w:line="240" w:lineRule="auto"/>
              <w:jc w:val="center"/>
            </w:pPr>
            <w:r>
              <w:rPr>
                <w:sz w:val="19"/>
              </w:rPr>
              <w:t>424.25</w:t>
            </w:r>
          </w:p>
        </w:tc>
        <w:tc>
          <w:tcPr>
            <w:tcW w:type="dxa" w:w="2160"/>
            <w:vAlign w:val="center"/>
          </w:tcPr>
          <w:p>
            <w:pPr>
              <w:spacing w:before="60" w:after="60" w:line="240" w:lineRule="auto"/>
              <w:jc w:val="center"/>
            </w:pPr>
            <w:r>
              <w:rPr>
                <w:sz w:val="19"/>
              </w:rPr>
              <w:t>714.95</w:t>
            </w:r>
          </w:p>
        </w:tc>
        <w:tc>
          <w:tcPr>
            <w:tcW w:type="dxa" w:w="3773"/>
            <w:vAlign w:val="center"/>
          </w:tcPr>
          <w:p>
            <w:pPr>
              <w:spacing w:before="60" w:after="60" w:line="240" w:lineRule="auto"/>
              <w:jc w:val="center"/>
            </w:pPr>
            <w:r>
              <w:rPr>
                <w:sz w:val="19"/>
              </w:rPr>
              <w:t>1.69x</w:t>
            </w:r>
          </w:p>
        </w:tc>
      </w:tr>
    </w:tbl>
    <w:p>
      <w:pPr>
        <w:pStyle w:val="Heading1"/>
      </w:pPr>
      <w:r>
        <w:t>3. Analysis conclusions</w:t>
      </w:r>
    </w:p>
    <w:p>
      <w:r>
        <w:rPr>
          <w:b w:val="0"/>
        </w:rPr>
        <w:t>On the graphics isolation workload, rustc itself accounts for 99.3-99.6% of the extra Windows CPU time; Cargo overhead alone does not explain the gap. The release audit found unequal compiler optimizations, not proof of an LLVM defect. [1]</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cantSplit/>
        </w:trPr>
        <w:tc>
          <w:tcPr>
            <w:tcW w:type="dxa" w:w="3298"/>
            <w:shd w:fill="17365D"/>
            <w:vAlign w:val="center"/>
          </w:tcPr>
          <w:p>
            <w:pPr>
              <w:spacing w:before="60" w:after="60" w:line="240" w:lineRule="auto"/>
            </w:pPr>
            <w:r>
              <w:rPr>
                <w:b/>
                <w:color w:val="FFFFFF"/>
                <w:sz w:val="19"/>
              </w:rPr>
              <w:t>Rust 1.94.1 release setting</w:t>
            </w:r>
          </w:p>
        </w:tc>
        <w:tc>
          <w:tcPr>
            <w:tcW w:type="dxa" w:w="1555"/>
            <w:shd w:fill="17365D"/>
            <w:vAlign w:val="center"/>
          </w:tcPr>
          <w:p>
            <w:pPr>
              <w:spacing w:before="60" w:after="60" w:line="240" w:lineRule="auto"/>
              <w:jc w:val="center"/>
            </w:pPr>
            <w:r>
              <w:rPr>
                <w:b/>
                <w:color w:val="FFFFFF"/>
                <w:sz w:val="19"/>
              </w:rPr>
              <w:t>Linux x64</w:t>
            </w:r>
          </w:p>
        </w:tc>
        <w:tc>
          <w:tcPr>
            <w:tcW w:type="dxa" w:w="1656"/>
            <w:shd w:fill="17365D"/>
            <w:vAlign w:val="center"/>
          </w:tcPr>
          <w:p>
            <w:pPr>
              <w:spacing w:before="60" w:after="60" w:line="240" w:lineRule="auto"/>
              <w:jc w:val="center"/>
            </w:pPr>
            <w:r>
              <w:rPr>
                <w:b/>
                <w:color w:val="FFFFFF"/>
                <w:sz w:val="19"/>
              </w:rPr>
              <w:t>Linux Arm64</w:t>
            </w:r>
          </w:p>
        </w:tc>
        <w:tc>
          <w:tcPr>
            <w:tcW w:type="dxa" w:w="1699"/>
            <w:shd w:fill="17365D"/>
            <w:vAlign w:val="center"/>
          </w:tcPr>
          <w:p>
            <w:pPr>
              <w:spacing w:before="60" w:after="60" w:line="240" w:lineRule="auto"/>
              <w:jc w:val="center"/>
            </w:pPr>
            <w:r>
              <w:rPr>
                <w:b/>
                <w:color w:val="FFFFFF"/>
                <w:sz w:val="19"/>
              </w:rPr>
              <w:t>Windows x64</w:t>
            </w:r>
          </w:p>
        </w:tc>
        <w:tc>
          <w:tcPr>
            <w:tcW w:type="dxa" w:w="1829"/>
            <w:shd w:fill="17365D"/>
            <w:vAlign w:val="center"/>
          </w:tcPr>
          <w:p>
            <w:pPr>
              <w:spacing w:before="60" w:after="60" w:line="240" w:lineRule="auto"/>
              <w:jc w:val="center"/>
            </w:pPr>
            <w:r>
              <w:rPr>
                <w:b/>
                <w:color w:val="FFFFFF"/>
                <w:sz w:val="19"/>
              </w:rPr>
              <w:t>Windows Arm64</w:t>
            </w:r>
          </w:p>
        </w:tc>
      </w:tr>
      <w:tr>
        <w:trPr>
          <w:cantSplit/>
        </w:trPr>
        <w:tc>
          <w:tcPr>
            <w:tcW w:type="dxa" w:w="3298"/>
            <w:shd w:fill="EEF3F8"/>
            <w:vAlign w:val="center"/>
          </w:tcPr>
          <w:p>
            <w:pPr>
              <w:spacing w:before="60" w:after="60" w:line="240" w:lineRule="auto"/>
            </w:pPr>
            <w:r>
              <w:rPr>
                <w:sz w:val="19"/>
              </w:rPr>
              <w:t>rustc / LLVM PGO</w:t>
            </w:r>
          </w:p>
        </w:tc>
        <w:tc>
          <w:tcPr>
            <w:tcW w:type="dxa" w:w="1555"/>
            <w:shd w:fill="EEF3F8"/>
            <w:vAlign w:val="center"/>
          </w:tcPr>
          <w:p>
            <w:pPr>
              <w:spacing w:before="60" w:after="60" w:line="240" w:lineRule="auto"/>
              <w:jc w:val="center"/>
            </w:pPr>
            <w:r>
              <w:rPr>
                <w:sz w:val="19"/>
              </w:rPr>
              <w:t>Yes / Yes</w:t>
            </w:r>
          </w:p>
        </w:tc>
        <w:tc>
          <w:tcPr>
            <w:tcW w:type="dxa" w:w="1656"/>
            <w:shd w:fill="EEF3F8"/>
            <w:vAlign w:val="center"/>
          </w:tcPr>
          <w:p>
            <w:pPr>
              <w:spacing w:before="60" w:after="60" w:line="240" w:lineRule="auto"/>
              <w:jc w:val="center"/>
            </w:pPr>
            <w:r>
              <w:rPr>
                <w:sz w:val="19"/>
              </w:rPr>
              <w:t>Yes / Yes</w:t>
            </w:r>
          </w:p>
        </w:tc>
        <w:tc>
          <w:tcPr>
            <w:tcW w:type="dxa" w:w="1699"/>
            <w:shd w:fill="EEF3F8"/>
            <w:vAlign w:val="center"/>
          </w:tcPr>
          <w:p>
            <w:pPr>
              <w:spacing w:before="60" w:after="60" w:line="240" w:lineRule="auto"/>
              <w:jc w:val="center"/>
            </w:pPr>
            <w:r>
              <w:rPr>
                <w:sz w:val="19"/>
              </w:rPr>
              <w:t>Configured*</w:t>
            </w:r>
          </w:p>
        </w:tc>
        <w:tc>
          <w:tcPr>
            <w:tcW w:type="dxa" w:w="1829"/>
            <w:shd w:fill="EEF3F8"/>
            <w:vAlign w:val="center"/>
          </w:tcPr>
          <w:p>
            <w:pPr>
              <w:spacing w:before="60" w:after="60" w:line="240" w:lineRule="auto"/>
              <w:jc w:val="center"/>
            </w:pPr>
            <w:r>
              <w:rPr>
                <w:sz w:val="19"/>
              </w:rPr>
              <w:t>No / No</w:t>
            </w:r>
          </w:p>
        </w:tc>
      </w:tr>
      <w:tr>
        <w:trPr>
          <w:cantSplit/>
        </w:trPr>
        <w:tc>
          <w:tcPr>
            <w:tcW w:type="dxa" w:w="3298"/>
            <w:vAlign w:val="center"/>
          </w:tcPr>
          <w:p>
            <w:pPr>
              <w:spacing w:before="60" w:after="60" w:line="240" w:lineRule="auto"/>
            </w:pPr>
            <w:r>
              <w:rPr>
                <w:sz w:val="19"/>
              </w:rPr>
              <w:t>LLVM ThinLTO</w:t>
            </w:r>
          </w:p>
        </w:tc>
        <w:tc>
          <w:tcPr>
            <w:tcW w:type="dxa" w:w="1555"/>
            <w:vAlign w:val="center"/>
          </w:tcPr>
          <w:p>
            <w:pPr>
              <w:spacing w:before="60" w:after="60" w:line="240" w:lineRule="auto"/>
              <w:jc w:val="center"/>
            </w:pPr>
            <w:r>
              <w:rPr>
                <w:sz w:val="19"/>
              </w:rPr>
              <w:t>Yes</w:t>
            </w:r>
          </w:p>
        </w:tc>
        <w:tc>
          <w:tcPr>
            <w:tcW w:type="dxa" w:w="1656"/>
            <w:vAlign w:val="center"/>
          </w:tcPr>
          <w:p>
            <w:pPr>
              <w:spacing w:before="60" w:after="60" w:line="240" w:lineRule="auto"/>
              <w:jc w:val="center"/>
            </w:pPr>
            <w:r>
              <w:rPr>
                <w:sz w:val="19"/>
              </w:rPr>
              <w:t>Yes</w:t>
            </w:r>
          </w:p>
        </w:tc>
        <w:tc>
          <w:tcPr>
            <w:tcW w:type="dxa" w:w="1699"/>
            <w:vAlign w:val="center"/>
          </w:tcPr>
          <w:p>
            <w:pPr>
              <w:spacing w:before="60" w:after="60" w:line="240" w:lineRule="auto"/>
              <w:jc w:val="center"/>
            </w:pPr>
            <w:r>
              <w:rPr>
                <w:sz w:val="19"/>
              </w:rPr>
              <w:t>No</w:t>
            </w:r>
          </w:p>
        </w:tc>
        <w:tc>
          <w:tcPr>
            <w:tcW w:type="dxa" w:w="1829"/>
            <w:vAlign w:val="center"/>
          </w:tcPr>
          <w:p>
            <w:pPr>
              <w:spacing w:before="60" w:after="60" w:line="240" w:lineRule="auto"/>
              <w:jc w:val="center"/>
            </w:pPr>
            <w:r>
              <w:rPr>
                <w:sz w:val="19"/>
              </w:rPr>
              <w:t>No</w:t>
            </w:r>
          </w:p>
        </w:tc>
      </w:tr>
      <w:tr>
        <w:trPr>
          <w:cantSplit/>
        </w:trPr>
        <w:tc>
          <w:tcPr>
            <w:tcW w:type="dxa" w:w="3298"/>
            <w:shd w:fill="EEF3F8"/>
            <w:vAlign w:val="center"/>
          </w:tcPr>
          <w:p>
            <w:pPr>
              <w:spacing w:before="60" w:after="60" w:line="240" w:lineRule="auto"/>
            </w:pPr>
            <w:r>
              <w:rPr>
                <w:sz w:val="19"/>
              </w:rPr>
              <w:t>Cross-crate rustc ThinLTO</w:t>
            </w:r>
          </w:p>
        </w:tc>
        <w:tc>
          <w:tcPr>
            <w:tcW w:type="dxa" w:w="1555"/>
            <w:shd w:fill="EEF3F8"/>
            <w:vAlign w:val="center"/>
          </w:tcPr>
          <w:p>
            <w:pPr>
              <w:spacing w:before="60" w:after="60" w:line="240" w:lineRule="auto"/>
              <w:jc w:val="center"/>
            </w:pPr>
            <w:r>
              <w:rPr>
                <w:sz w:val="19"/>
              </w:rPr>
              <w:t>Yes</w:t>
            </w:r>
          </w:p>
        </w:tc>
        <w:tc>
          <w:tcPr>
            <w:tcW w:type="dxa" w:w="1656"/>
            <w:shd w:fill="EEF3F8"/>
            <w:vAlign w:val="center"/>
          </w:tcPr>
          <w:p>
            <w:pPr>
              <w:spacing w:before="60" w:after="60" w:line="240" w:lineRule="auto"/>
              <w:jc w:val="center"/>
            </w:pPr>
            <w:r>
              <w:rPr>
                <w:sz w:val="19"/>
              </w:rPr>
              <w:t>Yes</w:t>
            </w:r>
          </w:p>
        </w:tc>
        <w:tc>
          <w:tcPr>
            <w:tcW w:type="dxa" w:w="1699"/>
            <w:shd w:fill="EEF3F8"/>
            <w:vAlign w:val="center"/>
          </w:tcPr>
          <w:p>
            <w:pPr>
              <w:spacing w:before="60" w:after="60" w:line="240" w:lineRule="auto"/>
              <w:jc w:val="center"/>
            </w:pPr>
            <w:r>
              <w:rPr>
                <w:sz w:val="19"/>
              </w:rPr>
              <w:t>No</w:t>
            </w:r>
          </w:p>
        </w:tc>
        <w:tc>
          <w:tcPr>
            <w:tcW w:type="dxa" w:w="1829"/>
            <w:shd w:fill="EEF3F8"/>
            <w:vAlign w:val="center"/>
          </w:tcPr>
          <w:p>
            <w:pPr>
              <w:spacing w:before="60" w:after="60" w:line="240" w:lineRule="auto"/>
              <w:jc w:val="center"/>
            </w:pPr>
            <w:r>
              <w:rPr>
                <w:sz w:val="19"/>
              </w:rPr>
              <w:t>No</w:t>
            </w:r>
          </w:p>
        </w:tc>
      </w:tr>
      <w:tr>
        <w:trPr>
          <w:cantSplit/>
        </w:trPr>
        <w:tc>
          <w:tcPr>
            <w:tcW w:type="dxa" w:w="3298"/>
            <w:vAlign w:val="center"/>
          </w:tcPr>
          <w:p>
            <w:pPr>
              <w:spacing w:before="60" w:after="60" w:line="240" w:lineRule="auto"/>
            </w:pPr>
            <w:r>
              <w:rPr>
                <w:sz w:val="19"/>
              </w:rPr>
              <w:t>BOLT binary optimization</w:t>
            </w:r>
          </w:p>
        </w:tc>
        <w:tc>
          <w:tcPr>
            <w:tcW w:type="dxa" w:w="1555"/>
            <w:vAlign w:val="center"/>
          </w:tcPr>
          <w:p>
            <w:pPr>
              <w:spacing w:before="60" w:after="60" w:line="240" w:lineRule="auto"/>
              <w:jc w:val="center"/>
            </w:pPr>
            <w:r>
              <w:rPr>
                <w:sz w:val="19"/>
              </w:rPr>
              <w:t>Yes</w:t>
            </w:r>
          </w:p>
        </w:tc>
        <w:tc>
          <w:tcPr>
            <w:tcW w:type="dxa" w:w="1656"/>
            <w:vAlign w:val="center"/>
          </w:tcPr>
          <w:p>
            <w:pPr>
              <w:spacing w:before="60" w:after="60" w:line="240" w:lineRule="auto"/>
              <w:jc w:val="center"/>
            </w:pPr>
            <w:r>
              <w:rPr>
                <w:sz w:val="19"/>
              </w:rPr>
              <w:t>No</w:t>
            </w:r>
          </w:p>
        </w:tc>
        <w:tc>
          <w:tcPr>
            <w:tcW w:type="dxa" w:w="1699"/>
            <w:vAlign w:val="center"/>
          </w:tcPr>
          <w:p>
            <w:pPr>
              <w:spacing w:before="60" w:after="60" w:line="240" w:lineRule="auto"/>
              <w:jc w:val="center"/>
            </w:pPr>
            <w:r>
              <w:rPr>
                <w:sz w:val="19"/>
              </w:rPr>
              <w:t>No</w:t>
            </w:r>
          </w:p>
        </w:tc>
        <w:tc>
          <w:tcPr>
            <w:tcW w:type="dxa" w:w="1829"/>
            <w:vAlign w:val="center"/>
          </w:tcPr>
          <w:p>
            <w:pPr>
              <w:spacing w:before="60" w:after="60" w:line="240" w:lineRule="auto"/>
              <w:jc w:val="center"/>
            </w:pPr>
            <w:r>
              <w:rPr>
                <w:sz w:val="19"/>
              </w:rPr>
              <w:t>No</w:t>
            </w:r>
          </w:p>
        </w:tc>
      </w:tr>
    </w:tbl>
    <w:p>
      <w:pPr>
        <w:spacing w:after="80"/>
      </w:pPr>
      <w:r>
        <w:rPr>
          <w:b w:val="0"/>
          <w:sz w:val="18"/>
        </w:rPr>
        <w:t>PGO uses training profiles; ThinLTO optimizes across compilation units. *Both x64 PGO stages are configured. Static-LLVM training needed an explicit rustc relink in our builds; this does not prove official x64 profiles were ineffective.</w:t>
      </w:r>
    </w:p>
    <w:p>
      <w:pPr>
        <w:pStyle w:val="Heading1"/>
      </w:pPr>
      <w:r>
        <w:t>4. Performance result</w:t>
      </w:r>
    </w:p>
    <w:p>
      <w:r>
        <w:rPr>
          <w:b w:val="0"/>
        </w:rPr>
        <w:t>We rebuilt native Arm64 and x64 compilers with effective rustc/LLVM PGO, LLVM ThinLTO and cross-crate Rust ThinLTO, using native LLVM linking tools and verified backend training coverage. We preserved x64's one-codegen-unit setting and official target libraries. The x64 control/treatment share identical profiles. IronRDP code and native Cargo profiles were unchanged; BOLT was not added. [1, 2]</w:t>
      </w:r>
    </w:p>
    <w:p>
      <w:pPr>
        <w:spacing w:after="80"/>
      </w:pPr>
      <w:r>
        <w:rPr>
          <w:b/>
          <w:sz w:val="18"/>
        </w:rPr>
        <w:t>Rust compiler execution: isolated native yuv code generation, four CPUs [2]</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cantSplit/>
        </w:trPr>
        <w:tc>
          <w:tcPr>
            <w:tcW w:type="dxa" w:w="1512"/>
            <w:shd w:fill="17365D"/>
            <w:vAlign w:val="center"/>
          </w:tcPr>
          <w:p>
            <w:pPr>
              <w:spacing w:before="60" w:after="60" w:line="240" w:lineRule="auto"/>
            </w:pPr>
            <w:r>
              <w:rPr>
                <w:b/>
                <w:color w:val="FFFFFF"/>
                <w:sz w:val="19"/>
              </w:rPr>
              <w:t>Architecture</w:t>
            </w:r>
          </w:p>
        </w:tc>
        <w:tc>
          <w:tcPr>
            <w:tcW w:type="dxa" w:w="1656"/>
            <w:shd w:fill="17365D"/>
            <w:vAlign w:val="center"/>
          </w:tcPr>
          <w:p>
            <w:pPr>
              <w:spacing w:before="60" w:after="60" w:line="240" w:lineRule="auto"/>
              <w:jc w:val="center"/>
            </w:pPr>
            <w:r>
              <w:rPr>
                <w:b/>
                <w:color w:val="FFFFFF"/>
                <w:sz w:val="19"/>
              </w:rPr>
              <w:t>Linux (s)</w:t>
            </w:r>
          </w:p>
        </w:tc>
        <w:tc>
          <w:tcPr>
            <w:tcW w:type="dxa" w:w="2376"/>
            <w:shd w:fill="17365D"/>
            <w:vAlign w:val="center"/>
          </w:tcPr>
          <w:p>
            <w:pPr>
              <w:spacing w:before="60" w:after="60" w:line="240" w:lineRule="auto"/>
              <w:jc w:val="center"/>
            </w:pPr>
            <w:r>
              <w:rPr>
                <w:b/>
                <w:color w:val="FFFFFF"/>
                <w:sz w:val="19"/>
              </w:rPr>
              <w:t>Windows stock (s)</w:t>
            </w:r>
          </w:p>
        </w:tc>
        <w:tc>
          <w:tcPr>
            <w:tcW w:type="dxa" w:w="2160"/>
            <w:shd w:fill="17365D"/>
            <w:vAlign w:val="center"/>
          </w:tcPr>
          <w:p>
            <w:pPr>
              <w:spacing w:before="60" w:after="60" w:line="240" w:lineRule="auto"/>
              <w:jc w:val="center"/>
            </w:pPr>
            <w:r>
              <w:rPr>
                <w:b/>
                <w:color w:val="FFFFFF"/>
                <w:sz w:val="19"/>
              </w:rPr>
              <w:t>Optimized (s)</w:t>
            </w:r>
          </w:p>
        </w:tc>
        <w:tc>
          <w:tcPr>
            <w:tcW w:type="dxa" w:w="2333"/>
            <w:shd w:fill="17365D"/>
            <w:vAlign w:val="center"/>
          </w:tcPr>
          <w:p>
            <w:pPr>
              <w:spacing w:before="60" w:after="60" w:line="240" w:lineRule="auto"/>
              <w:jc w:val="center"/>
            </w:pPr>
            <w:r>
              <w:rPr>
                <w:b/>
                <w:color w:val="FFFFFF"/>
                <w:sz w:val="19"/>
              </w:rPr>
              <w:t>Wall reduction</w:t>
            </w:r>
          </w:p>
        </w:tc>
      </w:tr>
      <w:tr>
        <w:trPr>
          <w:cantSplit/>
        </w:trPr>
        <w:tc>
          <w:tcPr>
            <w:tcW w:type="dxa" w:w="1512"/>
            <w:shd w:fill="EEF3F8"/>
            <w:vAlign w:val="center"/>
          </w:tcPr>
          <w:p>
            <w:pPr>
              <w:spacing w:before="60" w:after="60" w:line="240" w:lineRule="auto"/>
            </w:pPr>
            <w:r>
              <w:rPr>
                <w:sz w:val="19"/>
              </w:rPr>
              <w:t>x64</w:t>
            </w:r>
          </w:p>
        </w:tc>
        <w:tc>
          <w:tcPr>
            <w:tcW w:type="dxa" w:w="1656"/>
            <w:shd w:fill="EEF3F8"/>
            <w:vAlign w:val="center"/>
          </w:tcPr>
          <w:p>
            <w:pPr>
              <w:spacing w:before="60" w:after="60" w:line="240" w:lineRule="auto"/>
              <w:jc w:val="center"/>
            </w:pPr>
            <w:r>
              <w:rPr>
                <w:sz w:val="19"/>
              </w:rPr>
              <w:t>33.97</w:t>
            </w:r>
          </w:p>
        </w:tc>
        <w:tc>
          <w:tcPr>
            <w:tcW w:type="dxa" w:w="2376"/>
            <w:shd w:fill="EEF3F8"/>
            <w:vAlign w:val="center"/>
          </w:tcPr>
          <w:p>
            <w:pPr>
              <w:spacing w:before="60" w:after="60" w:line="240" w:lineRule="auto"/>
              <w:jc w:val="center"/>
            </w:pPr>
            <w:r>
              <w:rPr>
                <w:sz w:val="19"/>
              </w:rPr>
              <w:t>73.19</w:t>
            </w:r>
          </w:p>
        </w:tc>
        <w:tc>
          <w:tcPr>
            <w:tcW w:type="dxa" w:w="2160"/>
            <w:shd w:fill="EEF3F8"/>
            <w:vAlign w:val="center"/>
          </w:tcPr>
          <w:p>
            <w:pPr>
              <w:spacing w:before="60" w:after="60" w:line="240" w:lineRule="auto"/>
              <w:jc w:val="center"/>
            </w:pPr>
            <w:r>
              <w:rPr>
                <w:sz w:val="19"/>
              </w:rPr>
              <w:t>47.96</w:t>
            </w:r>
          </w:p>
        </w:tc>
        <w:tc>
          <w:tcPr>
            <w:tcW w:type="dxa" w:w="2333"/>
            <w:shd w:fill="EEF3F8"/>
            <w:vAlign w:val="center"/>
          </w:tcPr>
          <w:p>
            <w:pPr>
              <w:spacing w:before="60" w:after="60" w:line="240" w:lineRule="auto"/>
              <w:jc w:val="center"/>
            </w:pPr>
            <w:r>
              <w:rPr>
                <w:sz w:val="19"/>
              </w:rPr>
              <w:t>34.5%</w:t>
            </w:r>
          </w:p>
        </w:tc>
      </w:tr>
      <w:tr>
        <w:trPr>
          <w:cantSplit/>
        </w:trPr>
        <w:tc>
          <w:tcPr>
            <w:tcW w:type="dxa" w:w="1512"/>
            <w:vAlign w:val="center"/>
          </w:tcPr>
          <w:p>
            <w:pPr>
              <w:spacing w:before="60" w:after="60" w:line="240" w:lineRule="auto"/>
            </w:pPr>
            <w:r>
              <w:rPr>
                <w:sz w:val="19"/>
              </w:rPr>
              <w:t>Arm64</w:t>
            </w:r>
          </w:p>
        </w:tc>
        <w:tc>
          <w:tcPr>
            <w:tcW w:type="dxa" w:w="1656"/>
            <w:vAlign w:val="center"/>
          </w:tcPr>
          <w:p>
            <w:pPr>
              <w:spacing w:before="60" w:after="60" w:line="240" w:lineRule="auto"/>
              <w:jc w:val="center"/>
            </w:pPr>
            <w:r>
              <w:rPr>
                <w:sz w:val="19"/>
              </w:rPr>
              <w:t>20.48</w:t>
            </w:r>
          </w:p>
        </w:tc>
        <w:tc>
          <w:tcPr>
            <w:tcW w:type="dxa" w:w="2376"/>
            <w:vAlign w:val="center"/>
          </w:tcPr>
          <w:p>
            <w:pPr>
              <w:spacing w:before="60" w:after="60" w:line="240" w:lineRule="auto"/>
              <w:jc w:val="center"/>
            </w:pPr>
            <w:r>
              <w:rPr>
                <w:sz w:val="19"/>
              </w:rPr>
              <w:t>32.28</w:t>
            </w:r>
          </w:p>
        </w:tc>
        <w:tc>
          <w:tcPr>
            <w:tcW w:type="dxa" w:w="2160"/>
            <w:vAlign w:val="center"/>
          </w:tcPr>
          <w:p>
            <w:pPr>
              <w:spacing w:before="60" w:after="60" w:line="240" w:lineRule="auto"/>
              <w:jc w:val="center"/>
            </w:pPr>
            <w:r>
              <w:rPr>
                <w:sz w:val="19"/>
              </w:rPr>
              <w:t>26.39</w:t>
            </w:r>
          </w:p>
        </w:tc>
        <w:tc>
          <w:tcPr>
            <w:tcW w:type="dxa" w:w="2333"/>
            <w:vAlign w:val="center"/>
          </w:tcPr>
          <w:p>
            <w:pPr>
              <w:spacing w:before="60" w:after="60" w:line="240" w:lineRule="auto"/>
              <w:jc w:val="center"/>
            </w:pPr>
            <w:r>
              <w:rPr>
                <w:sz w:val="19"/>
              </w:rPr>
              <w:t>18.3%</w:t>
            </w:r>
          </w:p>
        </w:tc>
      </w:tr>
    </w:tbl>
    <w:p>
      <w:pPr>
        <w:spacing w:after="80"/>
      </w:pPr>
      <w:r>
        <w:rPr>
          <w:b w:val="0"/>
          <w:sz w:val="18"/>
        </w:rPr>
        <w:t>Direct rustc invocations, no Cargo or external linker; these measure compiler usage, not the time to build Rust itself. They are a controlled workload, not a universal compiler speedup.</w:t>
      </w:r>
    </w:p>
    <w:p>
      <w:pPr>
        <w:spacing w:after="80"/>
      </w:pPr>
      <w:r>
        <w:rPr>
          <w:b/>
          <w:sz w:val="18"/>
        </w:rPr>
        <w:t>IronRDP: complete original five-command native compilation sequence [1]</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cantSplit/>
        </w:trPr>
        <w:tc>
          <w:tcPr>
            <w:tcW w:type="dxa" w:w="1512"/>
            <w:shd w:fill="17365D"/>
            <w:vAlign w:val="center"/>
          </w:tcPr>
          <w:p>
            <w:pPr>
              <w:spacing w:before="60" w:after="60" w:line="240" w:lineRule="auto"/>
            </w:pPr>
            <w:r>
              <w:rPr>
                <w:b/>
                <w:color w:val="FFFFFF"/>
                <w:sz w:val="19"/>
              </w:rPr>
              <w:t>Architecture</w:t>
            </w:r>
          </w:p>
        </w:tc>
        <w:tc>
          <w:tcPr>
            <w:tcW w:type="dxa" w:w="1656"/>
            <w:shd w:fill="17365D"/>
            <w:vAlign w:val="center"/>
          </w:tcPr>
          <w:p>
            <w:pPr>
              <w:spacing w:before="60" w:after="60" w:line="240" w:lineRule="auto"/>
              <w:jc w:val="center"/>
            </w:pPr>
            <w:r>
              <w:rPr>
                <w:b/>
                <w:color w:val="FFFFFF"/>
                <w:sz w:val="19"/>
              </w:rPr>
              <w:t>Linux (s)</w:t>
            </w:r>
          </w:p>
        </w:tc>
        <w:tc>
          <w:tcPr>
            <w:tcW w:type="dxa" w:w="2376"/>
            <w:shd w:fill="17365D"/>
            <w:vAlign w:val="center"/>
          </w:tcPr>
          <w:p>
            <w:pPr>
              <w:spacing w:before="60" w:after="60" w:line="240" w:lineRule="auto"/>
              <w:jc w:val="center"/>
            </w:pPr>
            <w:r>
              <w:rPr>
                <w:b/>
                <w:color w:val="FFFFFF"/>
                <w:sz w:val="19"/>
              </w:rPr>
              <w:t>Windows stock (s)</w:t>
            </w:r>
          </w:p>
        </w:tc>
        <w:tc>
          <w:tcPr>
            <w:tcW w:type="dxa" w:w="2160"/>
            <w:shd w:fill="17365D"/>
            <w:vAlign w:val="center"/>
          </w:tcPr>
          <w:p>
            <w:pPr>
              <w:spacing w:before="60" w:after="60" w:line="240" w:lineRule="auto"/>
              <w:jc w:val="center"/>
            </w:pPr>
            <w:r>
              <w:rPr>
                <w:b/>
                <w:color w:val="FFFFFF"/>
                <w:sz w:val="19"/>
              </w:rPr>
              <w:t>Optimized (s)</w:t>
            </w:r>
          </w:p>
        </w:tc>
        <w:tc>
          <w:tcPr>
            <w:tcW w:type="dxa" w:w="2333"/>
            <w:shd w:fill="17365D"/>
            <w:vAlign w:val="center"/>
          </w:tcPr>
          <w:p>
            <w:pPr>
              <w:spacing w:before="60" w:after="60" w:line="240" w:lineRule="auto"/>
              <w:jc w:val="center"/>
            </w:pPr>
            <w:r>
              <w:rPr>
                <w:b/>
                <w:color w:val="FFFFFF"/>
                <w:sz w:val="19"/>
              </w:rPr>
              <w:t>Wall reduction</w:t>
            </w:r>
          </w:p>
        </w:tc>
      </w:tr>
      <w:tr>
        <w:trPr>
          <w:cantSplit/>
        </w:trPr>
        <w:tc>
          <w:tcPr>
            <w:tcW w:type="dxa" w:w="1512"/>
            <w:shd w:fill="EEF3F8"/>
            <w:vAlign w:val="center"/>
          </w:tcPr>
          <w:p>
            <w:pPr>
              <w:spacing w:before="60" w:after="60" w:line="240" w:lineRule="auto"/>
            </w:pPr>
            <w:r>
              <w:rPr>
                <w:sz w:val="19"/>
              </w:rPr>
              <w:t>x64</w:t>
            </w:r>
          </w:p>
        </w:tc>
        <w:tc>
          <w:tcPr>
            <w:tcW w:type="dxa" w:w="1656"/>
            <w:shd w:fill="EEF3F8"/>
            <w:vAlign w:val="center"/>
          </w:tcPr>
          <w:p>
            <w:pPr>
              <w:spacing w:before="60" w:after="60" w:line="240" w:lineRule="auto"/>
              <w:jc w:val="center"/>
            </w:pPr>
            <w:r>
              <w:rPr>
                <w:sz w:val="19"/>
              </w:rPr>
              <w:t>492.93</w:t>
            </w:r>
          </w:p>
        </w:tc>
        <w:tc>
          <w:tcPr>
            <w:tcW w:type="dxa" w:w="2376"/>
            <w:shd w:fill="EEF3F8"/>
            <w:vAlign w:val="center"/>
          </w:tcPr>
          <w:p>
            <w:pPr>
              <w:spacing w:before="60" w:after="60" w:line="240" w:lineRule="auto"/>
              <w:jc w:val="center"/>
            </w:pPr>
            <w:r>
              <w:rPr>
                <w:sz w:val="19"/>
              </w:rPr>
              <w:t>957.41</w:t>
            </w:r>
          </w:p>
        </w:tc>
        <w:tc>
          <w:tcPr>
            <w:tcW w:type="dxa" w:w="2160"/>
            <w:shd w:fill="EEF3F8"/>
            <w:vAlign w:val="center"/>
          </w:tcPr>
          <w:p>
            <w:pPr>
              <w:spacing w:before="60" w:after="60" w:line="240" w:lineRule="auto"/>
              <w:jc w:val="center"/>
            </w:pPr>
            <w:r>
              <w:rPr>
                <w:sz w:val="19"/>
              </w:rPr>
              <w:t>730.64</w:t>
            </w:r>
          </w:p>
        </w:tc>
        <w:tc>
          <w:tcPr>
            <w:tcW w:type="dxa" w:w="2333"/>
            <w:shd w:fill="EEF3F8"/>
            <w:vAlign w:val="center"/>
          </w:tcPr>
          <w:p>
            <w:pPr>
              <w:spacing w:before="60" w:after="60" w:line="240" w:lineRule="auto"/>
              <w:jc w:val="center"/>
            </w:pPr>
            <w:r>
              <w:rPr>
                <w:sz w:val="19"/>
              </w:rPr>
              <w:t>23.7%</w:t>
            </w:r>
          </w:p>
        </w:tc>
      </w:tr>
      <w:tr>
        <w:trPr>
          <w:cantSplit/>
        </w:trPr>
        <w:tc>
          <w:tcPr>
            <w:tcW w:type="dxa" w:w="1512"/>
            <w:vAlign w:val="center"/>
          </w:tcPr>
          <w:p>
            <w:pPr>
              <w:spacing w:before="60" w:after="60" w:line="240" w:lineRule="auto"/>
            </w:pPr>
            <w:r>
              <w:rPr>
                <w:sz w:val="19"/>
              </w:rPr>
              <w:t>Arm64</w:t>
            </w:r>
          </w:p>
        </w:tc>
        <w:tc>
          <w:tcPr>
            <w:tcW w:type="dxa" w:w="1656"/>
            <w:vAlign w:val="center"/>
          </w:tcPr>
          <w:p>
            <w:pPr>
              <w:spacing w:before="60" w:after="60" w:line="240" w:lineRule="auto"/>
              <w:jc w:val="center"/>
            </w:pPr>
            <w:r>
              <w:rPr>
                <w:sz w:val="19"/>
              </w:rPr>
              <w:t>414.16</w:t>
            </w:r>
          </w:p>
        </w:tc>
        <w:tc>
          <w:tcPr>
            <w:tcW w:type="dxa" w:w="2376"/>
            <w:vAlign w:val="center"/>
          </w:tcPr>
          <w:p>
            <w:pPr>
              <w:spacing w:before="60" w:after="60" w:line="240" w:lineRule="auto"/>
              <w:jc w:val="center"/>
            </w:pPr>
            <w:r>
              <w:rPr>
                <w:sz w:val="19"/>
              </w:rPr>
              <w:t>709.64</w:t>
            </w:r>
          </w:p>
        </w:tc>
        <w:tc>
          <w:tcPr>
            <w:tcW w:type="dxa" w:w="2160"/>
            <w:vAlign w:val="center"/>
          </w:tcPr>
          <w:p>
            <w:pPr>
              <w:spacing w:before="60" w:after="60" w:line="240" w:lineRule="auto"/>
              <w:jc w:val="center"/>
            </w:pPr>
            <w:r>
              <w:rPr>
                <w:sz w:val="19"/>
              </w:rPr>
              <w:t>595.99</w:t>
            </w:r>
          </w:p>
        </w:tc>
        <w:tc>
          <w:tcPr>
            <w:tcW w:type="dxa" w:w="2333"/>
            <w:vAlign w:val="center"/>
          </w:tcPr>
          <w:p>
            <w:pPr>
              <w:spacing w:before="60" w:after="60" w:line="240" w:lineRule="auto"/>
              <w:jc w:val="center"/>
            </w:pPr>
            <w:r>
              <w:rPr>
                <w:sz w:val="19"/>
              </w:rPr>
              <w:t>16.0%</w:t>
            </w:r>
          </w:p>
        </w:tc>
      </w:tr>
    </w:tbl>
    <w:p>
      <w:pPr>
        <w:spacing w:after="80"/>
      </w:pPr>
      <w:r>
        <w:rPr>
          <w:b w:val="0"/>
          <w:sz w:val="18"/>
        </w:rPr>
        <w:t>Five VMs per OS, three measured rounds, cold outputs; equal-weight VM means. 95% intervals: x64 21.7-25.3%, Arm64 15.4-16.7%. Optimized Windows remains 48.2% / 43.9% slower than its x64 / Arm64 Linux reference. These later paired baselines, not the initial medians, determine gains; OS hardware is not identical.</w:t>
      </w:r>
    </w:p>
    <w:p>
      <w:r>
        <w:br w:type="page"/>
      </w:r>
    </w:p>
    <w:p>
      <w:pPr>
        <w:pStyle w:val="Heading1"/>
      </w:pPr>
      <w:r>
        <w:t>5. Upstream considerations</w:t>
      </w:r>
    </w:p>
    <w:p>
      <w:r>
        <w:rPr>
          <w:b w:val="0"/>
        </w:rPr>
        <w:t>A direct rollout is not safe within the present job budgets. Full cold Arm64 distribution took 141.82 minutes without the new optimizations. The optimized attempt hit its 350-minute safety deadline during the second LLVM build, before LLVM training, final distribution and tests. The x64 fresh-profile ThinLTO attempt also exhausted 350 minutes; its successful 225.8-minute profile-use build reused profiles and was compiler-only. These failures demonstrate inadequate operational headroom, not a measured failure at exactly the hosted 360-minute hard limit. [3]</w:t>
      </w:r>
    </w:p>
    <w:p>
      <w:r>
        <w:rPr>
          <w:b w:val="0"/>
        </w:rPr>
        <w:t>Optimize distribution jobs only; ordinary compiler tests need not retrain PGO. Release promotion signs and publishes existing CI artifacts rather than rebuilding Rust. Current upstream Rust also has newer LLVM and additional tool training, so the pinned experiment is not a release qualification for current main.</w:t>
      </w:r>
    </w:p>
    <w:p>
      <w:r>
        <w:rPr>
          <w:b w:val="0"/>
        </w:rPr>
        <w:t>The least complex candidate is a larger native runner, with ThinLTO reserved for the final shipping compiler rather than every temporary training build. The model projects 182 minutes on 16 vCPUs versus 136 minutes on 32 vCPUs. Four smaller parallel jobs project about 386 minutes elapsed and 475 summed, rounded runner-minutes; they avoid long individual jobs but add transfers, provenance and orchestration. On 32 vCPUs, four jobs project 157 minutes/200 rounded runner-minutes, worse than one job. Two sequential profile-generation/distribution jobs are the simpler fallback. All are unvalidated projections, not linear core-scaling promises. [4]</w:t>
      </w:r>
    </w:p>
    <w:p>
      <w:pPr>
        <w:pStyle w:val="Heading1"/>
      </w:pPr>
      <w:r>
        <w:t>6. Conclusion</w:t>
      </w:r>
    </w:p>
    <w:p>
      <w:r>
        <w:rPr>
          <w:b w:val="0"/>
        </w:rPr>
        <w:t>The measured downstream gains justify further qualification. To approach today's two-hour distribution time with minimal CI changes, the recommended approach needs a larger native Windows Arm64 runner: 32 vCPUs, 128 GB RAM and 1.2 TB SSD, with overflow/replacement capacity. The quoted rate is $0.098 per active minute: about $13.33 per modeled 136-minute attempt, or $13.68 per qualified build under the proposal's explicit retry assumptions. This is a hosted-runner proposal, not a self-hosted hardware quote or guaranteed 32-physical-core machine. [4, 5]</w:t>
      </w:r>
    </w:p>
    <w:p>
      <w:r>
        <w:rPr>
          <w:b w:val="0"/>
        </w:rPr>
        <w:t>Two sampled weeks annualize to about 4,224 MSVC Arm64 distribution attempts. Central planning requires roughly 406,662-573,459 occupied runner-minutes/year and $39,986-$56,292 compute, depending on cancellation accounting. Full-attempt demand exceeds one machine's capacity; plan two available runner slots rather than one sole production machine. Adverse cases cost about $59,000-$103,000/year. Ordinary and other-platform CI stays elsewhere; storage, plan fees, tax and operations are excluded. No paid runner has been tested or provisioned. [4]</w:t>
      </w:r>
    </w:p>
    <w:p>
      <w:r>
        <w:rPr>
          <w:b/>
        </w:rPr>
        <w:t>Potential savings across GitHub projects - illustrative, not a measured global forecast</w:t>
      </w:r>
    </w:p>
    <w:p>
      <w:r>
        <w:rPr>
          <w:b w:val="0"/>
        </w:rPr>
        <w:t>If adopting projects collectively spend 10 million eligible Windows compilation minutes/year (80% x64, 20% Arm64), and IronRDP's gains transfer, the estimated saving is 2.22 million runner-minutes/year, worth about $46,171 at current paid four-vCPU list rates ($0.022 x64; $0.014 Arm64). At 100 million baseline minutes, the corresponding figures are 22.15 million minutes and $461,715/year. These are gross downstream equivalents, before upstream production cost. [5]</w:t>
      </w:r>
    </w:p>
    <w:p>
      <w:pPr>
        <w:spacing w:after="80"/>
      </w:pPr>
      <w:r>
        <w:rPr>
          <w:b w:val="0"/>
          <w:sz w:val="18"/>
        </w:rPr>
        <w:t>No GitHub-wide Windows Rust workload volume or adoption rate was measured. Actual savings are Mx64 x 23.7% + MArm64 x 16.0%, where M covers only affected compile time on adopting projects. Warm/incremental builds may differ; whole-job critical paths and minute rounding limit invoice savings. Public standard runners are free, so saved minutes there are capacity, not customer cash savings.</w:t>
      </w:r>
    </w:p>
    <w:p>
      <w:pPr>
        <w:pStyle w:val="Heading2"/>
      </w:pPr>
      <w:r>
        <w:t>Evidence and references</w:t>
      </w:r>
    </w:p>
    <w:p>
      <w:pPr>
        <w:spacing w:after="40"/>
      </w:pPr>
      <w:r>
        <w:rPr>
          <w:b w:val="0"/>
          <w:sz w:val="17"/>
        </w:rPr>
        <w:t xml:space="preserve">[1] Initial benchmark; optimization audit and final native results: </w:t>
      </w:r>
      <w:hyperlink r:id="rId9">
        <w:r>
          <w:rPr>
            <w:color w:val="175A91"/>
            <w:sz w:val="17"/>
          </w:rPr>
          <w:t>initial matrix</w:t>
        </w:r>
      </w:hyperlink>
      <w:r>
        <w:rPr>
          <w:sz w:val="17"/>
        </w:rPr>
        <w:t xml:space="preserve"> | </w:t>
      </w:r>
      <w:hyperlink r:id="rId10">
        <w:r>
          <w:rPr>
            <w:color w:val="175A91"/>
            <w:sz w:val="17"/>
          </w:rPr>
          <w:t>combined findings</w:t>
        </w:r>
      </w:hyperlink>
    </w:p>
    <w:p>
      <w:pPr>
        <w:spacing w:after="40"/>
      </w:pPr>
      <w:r>
        <w:rPr>
          <w:b w:val="0"/>
          <w:sz w:val="17"/>
        </w:rPr>
        <w:t xml:space="preserve">[2] Compiler-isolation results: </w:t>
      </w:r>
      <w:hyperlink r:id="rId11">
        <w:r>
          <w:rPr>
            <w:color w:val="175A91"/>
            <w:sz w:val="17"/>
          </w:rPr>
          <w:t>Arm64</w:t>
        </w:r>
      </w:hyperlink>
      <w:r>
        <w:rPr>
          <w:sz w:val="17"/>
        </w:rPr>
        <w:t xml:space="preserve"> | </w:t>
      </w:r>
      <w:hyperlink r:id="rId12">
        <w:r>
          <w:rPr>
            <w:color w:val="175A91"/>
            <w:sz w:val="17"/>
          </w:rPr>
          <w:t>x64</w:t>
        </w:r>
      </w:hyperlink>
    </w:p>
    <w:p>
      <w:pPr>
        <w:spacing w:after="40"/>
      </w:pPr>
      <w:r>
        <w:rPr>
          <w:b w:val="0"/>
          <w:sz w:val="17"/>
        </w:rPr>
        <w:t xml:space="preserve">[3] Production feasibility and x64 build history: </w:t>
      </w:r>
      <w:hyperlink r:id="rId13">
        <w:r>
          <w:rPr>
            <w:color w:val="175A91"/>
            <w:sz w:val="17"/>
          </w:rPr>
          <w:t>Arm64 outcome</w:t>
        </w:r>
      </w:hyperlink>
      <w:r>
        <w:rPr>
          <w:sz w:val="17"/>
        </w:rPr>
        <w:t xml:space="preserve"> | </w:t>
      </w:r>
      <w:hyperlink r:id="rId14">
        <w:r>
          <w:rPr>
            <w:color w:val="175A91"/>
            <w:sz w:val="17"/>
          </w:rPr>
          <w:t>x64 history</w:t>
        </w:r>
      </w:hyperlink>
    </w:p>
    <w:p>
      <w:pPr>
        <w:spacing w:after="40"/>
      </w:pPr>
      <w:r>
        <w:rPr>
          <w:b w:val="0"/>
          <w:sz w:val="17"/>
        </w:rPr>
        <w:t xml:space="preserve">[4] Conditional scaling, upstream volume and annual cost: </w:t>
      </w:r>
      <w:hyperlink r:id="rId15">
        <w:r>
          <w:rPr>
            <w:color w:val="175A91"/>
            <w:sz w:val="17"/>
          </w:rPr>
          <w:t>runner proposal</w:t>
        </w:r>
      </w:hyperlink>
      <w:r>
        <w:rPr>
          <w:sz w:val="17"/>
        </w:rPr>
        <w:t xml:space="preserve"> | </w:t>
      </w:r>
      <w:hyperlink r:id="rId16">
        <w:r>
          <w:rPr>
            <w:color w:val="175A91"/>
            <w:sz w:val="17"/>
          </w:rPr>
          <w:t>annual capacity</w:t>
        </w:r>
      </w:hyperlink>
    </w:p>
    <w:p>
      <w:pPr>
        <w:spacing w:after="40"/>
      </w:pPr>
      <w:r>
        <w:rPr>
          <w:b w:val="0"/>
          <w:sz w:val="17"/>
        </w:rPr>
        <w:t xml:space="preserve">[5] Official reference, pricing checked 2 October 2026: </w:t>
      </w:r>
      <w:hyperlink r:id="rId17">
        <w:r>
          <w:rPr>
            <w:color w:val="175A91"/>
            <w:sz w:val="17"/>
          </w:rPr>
          <w:t>GitHub runner pricing</w:t>
        </w:r>
      </w:hyperlink>
    </w:p>
    <w:sectPr w:rsidR="00FC693F" w:rsidRPr="0006063C" w:rsidSect="00034616">
      <w:footerReference w:type="default" r:id="rId18"/>
      <w:pgSz w:w="11909" w:h="16834"/>
      <w:pgMar w:top="835"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Windows Rust investigation | 2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rcpems/IronRDP-ci-benchmark/blob/bed1f1dd452939fb97724c06413225ee0ab30f8d/ci-benchmark/REPORT.md" TargetMode="External"/><Relationship Id="rId10" Type="http://schemas.openxmlformats.org/officeDocument/2006/relationships/hyperlink" Target="https://github.com/marcpems/IronRDP-ci-benchmark/blob/bed1f1dd452939fb97724c06413225ee0ab30f8d/ci-benchmark/COMBINED-REPORT.md" TargetMode="External"/><Relationship Id="rId11" Type="http://schemas.openxmlformats.org/officeDocument/2006/relationships/hyperlink" Target="https://github.com/marcpems/IronRDP-ci-benchmark/blob/bed1f1dd452939fb97724c06413225ee0ab30f8d/ci-benchmark/ARM64-AB-RESULTS.md" TargetMode="External"/><Relationship Id="rId12" Type="http://schemas.openxmlformats.org/officeDocument/2006/relationships/hyperlink" Target="https://github.com/marcpems/IronRDP-ci-benchmark/blob/bed1f1dd452939fb97724c06413225ee0ab30f8d/ci-benchmark/X64-COMPILER-RESULTS.md" TargetMode="External"/><Relationship Id="rId13" Type="http://schemas.openxmlformats.org/officeDocument/2006/relationships/hyperlink" Target="https://github.com/marcpems/IronRDP-ci-benchmark/blob/bc3bd4458c638dcfa345ee39b93c751af73bd800/arm-feasibility/FEASIBILITY.md" TargetMode="External"/><Relationship Id="rId14" Type="http://schemas.openxmlformats.org/officeDocument/2006/relationships/hyperlink" Target="https://github.com/marcpems/IronRDP-ci-benchmark/blob/bed1f1dd452939fb97724c06413225ee0ab30f8d/ci-benchmark/WINDOWS-X64-OPTIMIZATION.md" TargetMode="External"/><Relationship Id="rId15" Type="http://schemas.openxmlformats.org/officeDocument/2006/relationships/hyperlink" Target="https://github.com/marcpems/IronRDP-ci-benchmark/blob/2544d04c69ae2e5382dae9be773cca62bb58e815/ci-benchmark/build-time/BALANCED-PROPOSAL.md" TargetMode="External"/><Relationship Id="rId16" Type="http://schemas.openxmlformats.org/officeDocument/2006/relationships/hyperlink" Target="https://github.com/marcpems/IronRDP-ci-benchmark/blob/2544d04c69ae2e5382dae9be773cca62bb58e815/ci-benchmark/build-time/ANNUAL-CAPACITY.md" TargetMode="External"/><Relationship Id="rId17" Type="http://schemas.openxmlformats.org/officeDocument/2006/relationships/hyperlink" Target="https://docs.github.com/en/billing/reference/actions-runner-pricing"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Rust compiler performance: investigation summary</dc:title>
  <dc:subject>IronRDP validation, Rust optimization parity and upstream runner feasibility</dc:subject>
  <dc:creator>IronRDP Windows compiler investigation</dc:creator>
  <cp:keywords>Rust, Windows, Arm64, x64, IronRDP, PGO, ThinLTO, GitHub Actions</cp:keywords>
  <dc:description>generated by python-docx</dc:description>
  <cp:lastModifiedBy/>
  <cp:revision>1</cp:revision>
  <dcterms:created xsi:type="dcterms:W3CDTF">2013-12-23T23:15:00Z</dcterms:created>
  <dcterms:modified xsi:type="dcterms:W3CDTF">2013-12-23T23:15:00Z</dcterms:modified>
  <cp:category/>
</cp:coreProperties>
</file>