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7365D"/>
          <w:sz w:val="36"/>
        </w:rPr>
        <w:t>Windows Rust compiler performance</w:t>
      </w:r>
    </w:p>
    <w:p>
      <w:pPr>
        <w:spacing w:after="80"/>
      </w:pPr>
      <w:r>
        <w:rPr>
          <w:b w:val="0"/>
          <w:sz w:val="18"/>
        </w:rPr>
        <w:t>Consolidated investigation report | Updated 7 October 2026 | Measured Rust 1.94.1</w:t>
      </w:r>
    </w:p>
    <w:p>
      <w:pPr>
        <w:pStyle w:val="Heading1"/>
      </w:pPr>
      <w:r>
        <w:t>1. Goal</w:t>
      </w:r>
    </w:p>
    <w:p>
      <w:r>
        <w:rPr>
          <w:b w:val="0"/>
        </w:rPr>
        <w:t>Reduce the observed Windows/Linux Rust compiler performance gap, using IronRDP as a real-project benchmark, while keeping the compiler changes small and upstream CI/release production reliable. All experiments and publications remain in forks.</w:t>
      </w:r>
    </w:p>
    <w:p>
      <w:pPr>
        <w:pStyle w:val="Heading1"/>
      </w:pPr>
      <w:r>
        <w:t>2. Original observations</w:t>
      </w:r>
    </w:p>
    <w:p>
      <w:pPr>
        <w:spacing w:after="80"/>
      </w:pPr>
      <w:r>
        <w:rPr>
          <w:b w:val="0"/>
          <w:sz w:val="18"/>
        </w:rPr>
        <w:t>The initial native compilation sequence reproduced a substantial, but not universal 2x, Windows penalty. Wall seconds below are medians of three standard GitHub runners per platform; setup, downloads, uploads and test execution are excluded. [1]</w:t>
      </w:r>
    </w:p>
    <w:tbl>
      <w:tblPr>
        <w:tblStyle w:val="TableGrid"/>
        <w:tblW w:type="auto" w:w="0"/>
        <w:jc w:val="center"/>
        <w:tblLayout w:type="fixed"/>
        <w:tblLook w:firstColumn="1" w:firstRow="1" w:lastColumn="0" w:lastRow="0" w:noHBand="0" w:noVBand="1" w:val="04A0"/>
      </w:tblPr>
      <w:tblGrid>
        <w:gridCol w:w="2509"/>
        <w:gridCol w:w="2509"/>
        <w:gridCol w:w="2509"/>
        <w:gridCol w:w="2509"/>
      </w:tblGrid>
      <w:tr>
        <w:trPr>
          <w:tblHeader/>
          <w:cantSplit/>
        </w:trPr>
        <w:tc>
          <w:tcPr>
            <w:tcW w:type="dxa" w:w="1944"/>
            <w:shd w:fill="17365D"/>
            <w:vAlign w:val="center"/>
          </w:tcPr>
          <w:p>
            <w:pPr>
              <w:spacing w:before="60" w:after="60" w:line="240" w:lineRule="auto"/>
            </w:pPr>
            <w:r>
              <w:rPr>
                <w:b/>
                <w:color w:val="FFFFFF"/>
                <w:sz w:val="19"/>
              </w:rPr>
              <w:t>Architecture</w:t>
            </w:r>
          </w:p>
        </w:tc>
        <w:tc>
          <w:tcPr>
            <w:tcW w:type="dxa" w:w="2160"/>
            <w:shd w:fill="17365D"/>
            <w:vAlign w:val="center"/>
          </w:tcPr>
          <w:p>
            <w:pPr>
              <w:spacing w:before="60" w:after="60" w:line="240" w:lineRule="auto"/>
              <w:jc w:val="center"/>
            </w:pPr>
            <w:r>
              <w:rPr>
                <w:b/>
                <w:color w:val="FFFFFF"/>
                <w:sz w:val="19"/>
              </w:rPr>
              <w:t>Linux (s)</w:t>
            </w:r>
          </w:p>
        </w:tc>
        <w:tc>
          <w:tcPr>
            <w:tcW w:type="dxa" w:w="2160"/>
            <w:shd w:fill="17365D"/>
            <w:vAlign w:val="center"/>
          </w:tcPr>
          <w:p>
            <w:pPr>
              <w:spacing w:before="60" w:after="60" w:line="240" w:lineRule="auto"/>
              <w:jc w:val="center"/>
            </w:pPr>
            <w:r>
              <w:rPr>
                <w:b/>
                <w:color w:val="FFFFFF"/>
                <w:sz w:val="19"/>
              </w:rPr>
              <w:t>Windows (s)</w:t>
            </w:r>
          </w:p>
        </w:tc>
        <w:tc>
          <w:tcPr>
            <w:tcW w:type="dxa" w:w="3773"/>
            <w:shd w:fill="17365D"/>
            <w:vAlign w:val="center"/>
          </w:tcPr>
          <w:p>
            <w:pPr>
              <w:spacing w:before="60" w:after="60" w:line="240" w:lineRule="auto"/>
              <w:jc w:val="center"/>
            </w:pPr>
            <w:r>
              <w:rPr>
                <w:b/>
                <w:color w:val="FFFFFF"/>
                <w:sz w:val="19"/>
              </w:rPr>
              <w:t>Windows / Linux</w:t>
            </w:r>
          </w:p>
        </w:tc>
      </w:tr>
      <w:tr>
        <w:trPr>
          <w:cantSplit/>
        </w:trPr>
        <w:tc>
          <w:tcPr>
            <w:tcW w:type="dxa" w:w="1944"/>
            <w:shd w:fill="EEF3F8"/>
            <w:vAlign w:val="center"/>
          </w:tcPr>
          <w:p>
            <w:pPr>
              <w:spacing w:before="60" w:after="60" w:line="240" w:lineRule="auto"/>
            </w:pPr>
            <w:r>
              <w:rPr>
                <w:sz w:val="19"/>
              </w:rPr>
              <w:t>x64</w:t>
            </w:r>
          </w:p>
        </w:tc>
        <w:tc>
          <w:tcPr>
            <w:tcW w:type="dxa" w:w="2160"/>
            <w:shd w:fill="EEF3F8"/>
            <w:vAlign w:val="center"/>
          </w:tcPr>
          <w:p>
            <w:pPr>
              <w:spacing w:before="60" w:after="60" w:line="240" w:lineRule="auto"/>
              <w:jc w:val="center"/>
            </w:pPr>
            <w:r>
              <w:rPr>
                <w:sz w:val="19"/>
              </w:rPr>
              <w:t>555.03</w:t>
            </w:r>
          </w:p>
        </w:tc>
        <w:tc>
          <w:tcPr>
            <w:tcW w:type="dxa" w:w="2160"/>
            <w:shd w:fill="EEF3F8"/>
            <w:vAlign w:val="center"/>
          </w:tcPr>
          <w:p>
            <w:pPr>
              <w:spacing w:before="60" w:after="60" w:line="240" w:lineRule="auto"/>
              <w:jc w:val="center"/>
            </w:pPr>
            <w:r>
              <w:rPr>
                <w:sz w:val="19"/>
              </w:rPr>
              <w:t>1,008.89</w:t>
            </w:r>
          </w:p>
        </w:tc>
        <w:tc>
          <w:tcPr>
            <w:tcW w:type="dxa" w:w="3773"/>
            <w:shd w:fill="EEF3F8"/>
            <w:vAlign w:val="center"/>
          </w:tcPr>
          <w:p>
            <w:pPr>
              <w:spacing w:before="60" w:after="60" w:line="240" w:lineRule="auto"/>
              <w:jc w:val="center"/>
            </w:pPr>
            <w:r>
              <w:rPr>
                <w:sz w:val="19"/>
              </w:rPr>
              <w:t>1.82x</w:t>
            </w:r>
          </w:p>
        </w:tc>
      </w:tr>
      <w:tr>
        <w:trPr>
          <w:cantSplit/>
        </w:trPr>
        <w:tc>
          <w:tcPr>
            <w:tcW w:type="dxa" w:w="1944"/>
            <w:vAlign w:val="center"/>
          </w:tcPr>
          <w:p>
            <w:pPr>
              <w:spacing w:before="60" w:after="60" w:line="240" w:lineRule="auto"/>
            </w:pPr>
            <w:r>
              <w:rPr>
                <w:sz w:val="19"/>
              </w:rPr>
              <w:t>Arm64</w:t>
            </w:r>
          </w:p>
        </w:tc>
        <w:tc>
          <w:tcPr>
            <w:tcW w:type="dxa" w:w="2160"/>
            <w:vAlign w:val="center"/>
          </w:tcPr>
          <w:p>
            <w:pPr>
              <w:spacing w:before="60" w:after="60" w:line="240" w:lineRule="auto"/>
              <w:jc w:val="center"/>
            </w:pPr>
            <w:r>
              <w:rPr>
                <w:sz w:val="19"/>
              </w:rPr>
              <w:t>424.25</w:t>
            </w:r>
          </w:p>
        </w:tc>
        <w:tc>
          <w:tcPr>
            <w:tcW w:type="dxa" w:w="2160"/>
            <w:vAlign w:val="center"/>
          </w:tcPr>
          <w:p>
            <w:pPr>
              <w:spacing w:before="60" w:after="60" w:line="240" w:lineRule="auto"/>
              <w:jc w:val="center"/>
            </w:pPr>
            <w:r>
              <w:rPr>
                <w:sz w:val="19"/>
              </w:rPr>
              <w:t>714.95</w:t>
            </w:r>
          </w:p>
        </w:tc>
        <w:tc>
          <w:tcPr>
            <w:tcW w:type="dxa" w:w="3773"/>
            <w:vAlign w:val="center"/>
          </w:tcPr>
          <w:p>
            <w:pPr>
              <w:spacing w:before="60" w:after="60" w:line="240" w:lineRule="auto"/>
              <w:jc w:val="center"/>
            </w:pPr>
            <w:r>
              <w:rPr>
                <w:sz w:val="19"/>
              </w:rPr>
              <w:t>1.69x</w:t>
            </w:r>
          </w:p>
        </w:tc>
      </w:tr>
    </w:tbl>
    <w:p>
      <w:pPr>
        <w:pStyle w:val="Heading1"/>
      </w:pPr>
      <w:r>
        <w:t>3. Analysis conclusions</w:t>
      </w:r>
    </w:p>
    <w:p>
      <w:r>
        <w:rPr>
          <w:b w:val="0"/>
        </w:rPr>
        <w:t>On the graphics isolation workload, rustc itself accounts for 99.3-99.6% of the extra Windows CPU time; Cargo overhead alone does not explain the gap. The release audit found unequal compiler optimizations, not proof of an LLVM defect. [1]</w:t>
      </w:r>
    </w:p>
    <w:tbl>
      <w:tblPr>
        <w:tblStyle w:val="TableGrid"/>
        <w:tblW w:type="auto" w:w="0"/>
        <w:jc w:val="center"/>
        <w:tblLayout w:type="fixed"/>
        <w:tblLook w:firstColumn="1" w:firstRow="1" w:lastColumn="0" w:lastRow="0" w:noHBand="0" w:noVBand="1" w:val="04A0"/>
      </w:tblPr>
      <w:tblGrid>
        <w:gridCol w:w="2007"/>
        <w:gridCol w:w="2007"/>
        <w:gridCol w:w="2007"/>
        <w:gridCol w:w="2007"/>
        <w:gridCol w:w="2007"/>
      </w:tblGrid>
      <w:tr>
        <w:trPr>
          <w:tblHeader/>
          <w:cantSplit/>
        </w:trPr>
        <w:tc>
          <w:tcPr>
            <w:tcW w:type="dxa" w:w="3298"/>
            <w:shd w:fill="17365D"/>
            <w:vAlign w:val="center"/>
          </w:tcPr>
          <w:p>
            <w:pPr>
              <w:spacing w:before="60" w:after="60" w:line="240" w:lineRule="auto"/>
            </w:pPr>
            <w:r>
              <w:rPr>
                <w:b/>
                <w:color w:val="FFFFFF"/>
                <w:sz w:val="19"/>
              </w:rPr>
              <w:t>Rust 1.94.1 release setting</w:t>
            </w:r>
          </w:p>
        </w:tc>
        <w:tc>
          <w:tcPr>
            <w:tcW w:type="dxa" w:w="1555"/>
            <w:shd w:fill="17365D"/>
            <w:vAlign w:val="center"/>
          </w:tcPr>
          <w:p>
            <w:pPr>
              <w:spacing w:before="60" w:after="60" w:line="240" w:lineRule="auto"/>
              <w:jc w:val="center"/>
            </w:pPr>
            <w:r>
              <w:rPr>
                <w:b/>
                <w:color w:val="FFFFFF"/>
                <w:sz w:val="19"/>
              </w:rPr>
              <w:t>Linux x64</w:t>
            </w:r>
          </w:p>
        </w:tc>
        <w:tc>
          <w:tcPr>
            <w:tcW w:type="dxa" w:w="1656"/>
            <w:shd w:fill="17365D"/>
            <w:vAlign w:val="center"/>
          </w:tcPr>
          <w:p>
            <w:pPr>
              <w:spacing w:before="60" w:after="60" w:line="240" w:lineRule="auto"/>
              <w:jc w:val="center"/>
            </w:pPr>
            <w:r>
              <w:rPr>
                <w:b/>
                <w:color w:val="FFFFFF"/>
                <w:sz w:val="19"/>
              </w:rPr>
              <w:t>Linux Arm64</w:t>
            </w:r>
          </w:p>
        </w:tc>
        <w:tc>
          <w:tcPr>
            <w:tcW w:type="dxa" w:w="1699"/>
            <w:shd w:fill="17365D"/>
            <w:vAlign w:val="center"/>
          </w:tcPr>
          <w:p>
            <w:pPr>
              <w:spacing w:before="60" w:after="60" w:line="240" w:lineRule="auto"/>
              <w:jc w:val="center"/>
            </w:pPr>
            <w:r>
              <w:rPr>
                <w:b/>
                <w:color w:val="FFFFFF"/>
                <w:sz w:val="19"/>
              </w:rPr>
              <w:t>Windows x64</w:t>
            </w:r>
          </w:p>
        </w:tc>
        <w:tc>
          <w:tcPr>
            <w:tcW w:type="dxa" w:w="1829"/>
            <w:shd w:fill="17365D"/>
            <w:vAlign w:val="center"/>
          </w:tcPr>
          <w:p>
            <w:pPr>
              <w:spacing w:before="60" w:after="60" w:line="240" w:lineRule="auto"/>
              <w:jc w:val="center"/>
            </w:pPr>
            <w:r>
              <w:rPr>
                <w:b/>
                <w:color w:val="FFFFFF"/>
                <w:sz w:val="19"/>
              </w:rPr>
              <w:t>Windows Arm64</w:t>
            </w:r>
          </w:p>
        </w:tc>
      </w:tr>
      <w:tr>
        <w:trPr>
          <w:cantSplit/>
        </w:trPr>
        <w:tc>
          <w:tcPr>
            <w:tcW w:type="dxa" w:w="3298"/>
            <w:shd w:fill="EEF3F8"/>
            <w:vAlign w:val="center"/>
          </w:tcPr>
          <w:p>
            <w:pPr>
              <w:spacing w:before="60" w:after="60" w:line="240" w:lineRule="auto"/>
            </w:pPr>
            <w:r>
              <w:rPr>
                <w:sz w:val="19"/>
              </w:rPr>
              <w:t>rustc / LLVM PGO</w:t>
            </w:r>
          </w:p>
        </w:tc>
        <w:tc>
          <w:tcPr>
            <w:tcW w:type="dxa" w:w="1555"/>
            <w:shd w:fill="EEF3F8"/>
            <w:vAlign w:val="center"/>
          </w:tcPr>
          <w:p>
            <w:pPr>
              <w:spacing w:before="60" w:after="60" w:line="240" w:lineRule="auto"/>
              <w:jc w:val="center"/>
            </w:pPr>
            <w:r>
              <w:rPr>
                <w:sz w:val="19"/>
              </w:rPr>
              <w:t>Yes / Yes</w:t>
            </w:r>
          </w:p>
        </w:tc>
        <w:tc>
          <w:tcPr>
            <w:tcW w:type="dxa" w:w="1656"/>
            <w:shd w:fill="EEF3F8"/>
            <w:vAlign w:val="center"/>
          </w:tcPr>
          <w:p>
            <w:pPr>
              <w:spacing w:before="60" w:after="60" w:line="240" w:lineRule="auto"/>
              <w:jc w:val="center"/>
            </w:pPr>
            <w:r>
              <w:rPr>
                <w:sz w:val="19"/>
              </w:rPr>
              <w:t>Yes / Yes</w:t>
            </w:r>
          </w:p>
        </w:tc>
        <w:tc>
          <w:tcPr>
            <w:tcW w:type="dxa" w:w="1699"/>
            <w:shd w:fill="EEF3F8"/>
            <w:vAlign w:val="center"/>
          </w:tcPr>
          <w:p>
            <w:pPr>
              <w:spacing w:before="60" w:after="60" w:line="240" w:lineRule="auto"/>
              <w:jc w:val="center"/>
            </w:pPr>
            <w:r>
              <w:rPr>
                <w:sz w:val="19"/>
              </w:rPr>
              <w:t>Configured*</w:t>
            </w:r>
          </w:p>
        </w:tc>
        <w:tc>
          <w:tcPr>
            <w:tcW w:type="dxa" w:w="1829"/>
            <w:shd w:fill="EEF3F8"/>
            <w:vAlign w:val="center"/>
          </w:tcPr>
          <w:p>
            <w:pPr>
              <w:spacing w:before="60" w:after="60" w:line="240" w:lineRule="auto"/>
              <w:jc w:val="center"/>
            </w:pPr>
            <w:r>
              <w:rPr>
                <w:sz w:val="19"/>
              </w:rPr>
              <w:t>No / No</w:t>
            </w:r>
          </w:p>
        </w:tc>
      </w:tr>
      <w:tr>
        <w:trPr>
          <w:cantSplit/>
        </w:trPr>
        <w:tc>
          <w:tcPr>
            <w:tcW w:type="dxa" w:w="3298"/>
            <w:vAlign w:val="center"/>
          </w:tcPr>
          <w:p>
            <w:pPr>
              <w:spacing w:before="60" w:after="60" w:line="240" w:lineRule="auto"/>
            </w:pPr>
            <w:r>
              <w:rPr>
                <w:sz w:val="19"/>
              </w:rPr>
              <w:t>LLVM ThinLTO</w:t>
            </w:r>
          </w:p>
        </w:tc>
        <w:tc>
          <w:tcPr>
            <w:tcW w:type="dxa" w:w="1555"/>
            <w:vAlign w:val="center"/>
          </w:tcPr>
          <w:p>
            <w:pPr>
              <w:spacing w:before="60" w:after="60" w:line="240" w:lineRule="auto"/>
              <w:jc w:val="center"/>
            </w:pPr>
            <w:r>
              <w:rPr>
                <w:sz w:val="19"/>
              </w:rPr>
              <w:t>Yes</w:t>
            </w:r>
          </w:p>
        </w:tc>
        <w:tc>
          <w:tcPr>
            <w:tcW w:type="dxa" w:w="1656"/>
            <w:vAlign w:val="center"/>
          </w:tcPr>
          <w:p>
            <w:pPr>
              <w:spacing w:before="60" w:after="60" w:line="240" w:lineRule="auto"/>
              <w:jc w:val="center"/>
            </w:pPr>
            <w:r>
              <w:rPr>
                <w:sz w:val="19"/>
              </w:rPr>
              <w:t>Yes</w:t>
            </w:r>
          </w:p>
        </w:tc>
        <w:tc>
          <w:tcPr>
            <w:tcW w:type="dxa" w:w="1699"/>
            <w:vAlign w:val="center"/>
          </w:tcPr>
          <w:p>
            <w:pPr>
              <w:spacing w:before="60" w:after="60" w:line="240" w:lineRule="auto"/>
              <w:jc w:val="center"/>
            </w:pPr>
            <w:r>
              <w:rPr>
                <w:sz w:val="19"/>
              </w:rPr>
              <w:t>No</w:t>
            </w:r>
          </w:p>
        </w:tc>
        <w:tc>
          <w:tcPr>
            <w:tcW w:type="dxa" w:w="1829"/>
            <w:vAlign w:val="center"/>
          </w:tcPr>
          <w:p>
            <w:pPr>
              <w:spacing w:before="60" w:after="60" w:line="240" w:lineRule="auto"/>
              <w:jc w:val="center"/>
            </w:pPr>
            <w:r>
              <w:rPr>
                <w:sz w:val="19"/>
              </w:rPr>
              <w:t>No</w:t>
            </w:r>
          </w:p>
        </w:tc>
      </w:tr>
      <w:tr>
        <w:trPr>
          <w:cantSplit/>
        </w:trPr>
        <w:tc>
          <w:tcPr>
            <w:tcW w:type="dxa" w:w="3298"/>
            <w:shd w:fill="EEF3F8"/>
            <w:vAlign w:val="center"/>
          </w:tcPr>
          <w:p>
            <w:pPr>
              <w:spacing w:before="60" w:after="60" w:line="240" w:lineRule="auto"/>
            </w:pPr>
            <w:r>
              <w:rPr>
                <w:sz w:val="19"/>
              </w:rPr>
              <w:t>Cross-crate rustc ThinLTO</w:t>
            </w:r>
          </w:p>
        </w:tc>
        <w:tc>
          <w:tcPr>
            <w:tcW w:type="dxa" w:w="1555"/>
            <w:shd w:fill="EEF3F8"/>
            <w:vAlign w:val="center"/>
          </w:tcPr>
          <w:p>
            <w:pPr>
              <w:spacing w:before="60" w:after="60" w:line="240" w:lineRule="auto"/>
              <w:jc w:val="center"/>
            </w:pPr>
            <w:r>
              <w:rPr>
                <w:sz w:val="19"/>
              </w:rPr>
              <w:t>Yes</w:t>
            </w:r>
          </w:p>
        </w:tc>
        <w:tc>
          <w:tcPr>
            <w:tcW w:type="dxa" w:w="1656"/>
            <w:shd w:fill="EEF3F8"/>
            <w:vAlign w:val="center"/>
          </w:tcPr>
          <w:p>
            <w:pPr>
              <w:spacing w:before="60" w:after="60" w:line="240" w:lineRule="auto"/>
              <w:jc w:val="center"/>
            </w:pPr>
            <w:r>
              <w:rPr>
                <w:sz w:val="19"/>
              </w:rPr>
              <w:t>Yes</w:t>
            </w:r>
          </w:p>
        </w:tc>
        <w:tc>
          <w:tcPr>
            <w:tcW w:type="dxa" w:w="1699"/>
            <w:shd w:fill="EEF3F8"/>
            <w:vAlign w:val="center"/>
          </w:tcPr>
          <w:p>
            <w:pPr>
              <w:spacing w:before="60" w:after="60" w:line="240" w:lineRule="auto"/>
              <w:jc w:val="center"/>
            </w:pPr>
            <w:r>
              <w:rPr>
                <w:sz w:val="19"/>
              </w:rPr>
              <w:t>No</w:t>
            </w:r>
          </w:p>
        </w:tc>
        <w:tc>
          <w:tcPr>
            <w:tcW w:type="dxa" w:w="1829"/>
            <w:shd w:fill="EEF3F8"/>
            <w:vAlign w:val="center"/>
          </w:tcPr>
          <w:p>
            <w:pPr>
              <w:spacing w:before="60" w:after="60" w:line="240" w:lineRule="auto"/>
              <w:jc w:val="center"/>
            </w:pPr>
            <w:r>
              <w:rPr>
                <w:sz w:val="19"/>
              </w:rPr>
              <w:t>No</w:t>
            </w:r>
          </w:p>
        </w:tc>
      </w:tr>
      <w:tr>
        <w:trPr>
          <w:cantSplit/>
        </w:trPr>
        <w:tc>
          <w:tcPr>
            <w:tcW w:type="dxa" w:w="3298"/>
            <w:vAlign w:val="center"/>
          </w:tcPr>
          <w:p>
            <w:pPr>
              <w:spacing w:before="60" w:after="60" w:line="240" w:lineRule="auto"/>
            </w:pPr>
            <w:r>
              <w:rPr>
                <w:sz w:val="19"/>
              </w:rPr>
              <w:t>BOLT binary optimization</w:t>
            </w:r>
          </w:p>
        </w:tc>
        <w:tc>
          <w:tcPr>
            <w:tcW w:type="dxa" w:w="1555"/>
            <w:vAlign w:val="center"/>
          </w:tcPr>
          <w:p>
            <w:pPr>
              <w:spacing w:before="60" w:after="60" w:line="240" w:lineRule="auto"/>
              <w:jc w:val="center"/>
            </w:pPr>
            <w:r>
              <w:rPr>
                <w:sz w:val="19"/>
              </w:rPr>
              <w:t>Yes</w:t>
            </w:r>
          </w:p>
        </w:tc>
        <w:tc>
          <w:tcPr>
            <w:tcW w:type="dxa" w:w="1656"/>
            <w:vAlign w:val="center"/>
          </w:tcPr>
          <w:p>
            <w:pPr>
              <w:spacing w:before="60" w:after="60" w:line="240" w:lineRule="auto"/>
              <w:jc w:val="center"/>
            </w:pPr>
            <w:r>
              <w:rPr>
                <w:sz w:val="19"/>
              </w:rPr>
              <w:t>No</w:t>
            </w:r>
          </w:p>
        </w:tc>
        <w:tc>
          <w:tcPr>
            <w:tcW w:type="dxa" w:w="1699"/>
            <w:vAlign w:val="center"/>
          </w:tcPr>
          <w:p>
            <w:pPr>
              <w:spacing w:before="60" w:after="60" w:line="240" w:lineRule="auto"/>
              <w:jc w:val="center"/>
            </w:pPr>
            <w:r>
              <w:rPr>
                <w:sz w:val="19"/>
              </w:rPr>
              <w:t>No</w:t>
            </w:r>
          </w:p>
        </w:tc>
        <w:tc>
          <w:tcPr>
            <w:tcW w:type="dxa" w:w="1829"/>
            <w:vAlign w:val="center"/>
          </w:tcPr>
          <w:p>
            <w:pPr>
              <w:spacing w:before="60" w:after="60" w:line="240" w:lineRule="auto"/>
              <w:jc w:val="center"/>
            </w:pPr>
            <w:r>
              <w:rPr>
                <w:sz w:val="19"/>
              </w:rPr>
              <w:t>No</w:t>
            </w:r>
          </w:p>
        </w:tc>
      </w:tr>
    </w:tbl>
    <w:p>
      <w:pPr>
        <w:spacing w:after="80"/>
      </w:pPr>
      <w:r>
        <w:rPr>
          <w:b w:val="0"/>
          <w:sz w:val="18"/>
        </w:rPr>
        <w:t>PGO uses training profiles; ThinLTO optimizes across compilation units. *Both x64 PGO stages are configured. Static-LLVM training needed an explicit rustc relink in our builds; this does not prove official x64 profiles were ineffective.</w:t>
      </w:r>
    </w:p>
    <w:p>
      <w:pPr>
        <w:pStyle w:val="Heading1"/>
      </w:pPr>
      <w:r>
        <w:t>4. Performance result</w:t>
      </w:r>
    </w:p>
    <w:p>
      <w:r>
        <w:rPr>
          <w:b w:val="0"/>
        </w:rPr>
        <w:t>We rebuilt native Arm64 and x64 compilers with effective rustc/LLVM PGO, LLVM ThinLTO and cross-crate Rust ThinLTO, using native LLVM linking tools and verified backend training coverage. We preserved x64's one-codegen-unit setting and official target libraries. The x64 control/treatment share identical profiles. IronRDP code and native Cargo profiles were unchanged; BOLT was not added. [1, 2]</w:t>
      </w:r>
    </w:p>
    <w:p>
      <w:pPr>
        <w:spacing w:after="80"/>
      </w:pPr>
      <w:r>
        <w:rPr>
          <w:b/>
          <w:sz w:val="18"/>
        </w:rPr>
        <w:t>Rust compiler execution: isolated native yuv code generation, four CPUs [2]</w:t>
      </w:r>
    </w:p>
    <w:tbl>
      <w:tblPr>
        <w:tblStyle w:val="TableGrid"/>
        <w:tblW w:type="auto" w:w="0"/>
        <w:jc w:val="center"/>
        <w:tblLayout w:type="fixed"/>
        <w:tblLook w:firstColumn="1" w:firstRow="1" w:lastColumn="0" w:lastRow="0" w:noHBand="0" w:noVBand="1" w:val="04A0"/>
      </w:tblPr>
      <w:tblGrid>
        <w:gridCol w:w="2007"/>
        <w:gridCol w:w="2007"/>
        <w:gridCol w:w="2007"/>
        <w:gridCol w:w="2007"/>
        <w:gridCol w:w="2007"/>
      </w:tblGrid>
      <w:tr>
        <w:trPr>
          <w:tblHeader/>
          <w:cantSplit/>
        </w:trPr>
        <w:tc>
          <w:tcPr>
            <w:tcW w:type="dxa" w:w="1512"/>
            <w:shd w:fill="17365D"/>
            <w:vAlign w:val="center"/>
          </w:tcPr>
          <w:p>
            <w:pPr>
              <w:spacing w:before="60" w:after="60" w:line="240" w:lineRule="auto"/>
            </w:pPr>
            <w:r>
              <w:rPr>
                <w:b/>
                <w:color w:val="FFFFFF"/>
                <w:sz w:val="19"/>
              </w:rPr>
              <w:t>Architecture</w:t>
            </w:r>
          </w:p>
        </w:tc>
        <w:tc>
          <w:tcPr>
            <w:tcW w:type="dxa" w:w="1656"/>
            <w:shd w:fill="17365D"/>
            <w:vAlign w:val="center"/>
          </w:tcPr>
          <w:p>
            <w:pPr>
              <w:spacing w:before="60" w:after="60" w:line="240" w:lineRule="auto"/>
              <w:jc w:val="center"/>
            </w:pPr>
            <w:r>
              <w:rPr>
                <w:b/>
                <w:color w:val="FFFFFF"/>
                <w:sz w:val="19"/>
              </w:rPr>
              <w:t>Linux (s)</w:t>
            </w:r>
          </w:p>
        </w:tc>
        <w:tc>
          <w:tcPr>
            <w:tcW w:type="dxa" w:w="2376"/>
            <w:shd w:fill="17365D"/>
            <w:vAlign w:val="center"/>
          </w:tcPr>
          <w:p>
            <w:pPr>
              <w:spacing w:before="60" w:after="60" w:line="240" w:lineRule="auto"/>
              <w:jc w:val="center"/>
            </w:pPr>
            <w:r>
              <w:rPr>
                <w:b/>
                <w:color w:val="FFFFFF"/>
                <w:sz w:val="19"/>
              </w:rPr>
              <w:t>Windows stock (s)</w:t>
            </w:r>
          </w:p>
        </w:tc>
        <w:tc>
          <w:tcPr>
            <w:tcW w:type="dxa" w:w="2160"/>
            <w:shd w:fill="17365D"/>
            <w:vAlign w:val="center"/>
          </w:tcPr>
          <w:p>
            <w:pPr>
              <w:spacing w:before="60" w:after="60" w:line="240" w:lineRule="auto"/>
              <w:jc w:val="center"/>
            </w:pPr>
            <w:r>
              <w:rPr>
                <w:b/>
                <w:color w:val="FFFFFF"/>
                <w:sz w:val="19"/>
              </w:rPr>
              <w:t>Optimized (s)</w:t>
            </w:r>
          </w:p>
        </w:tc>
        <w:tc>
          <w:tcPr>
            <w:tcW w:type="dxa" w:w="2333"/>
            <w:shd w:fill="17365D"/>
            <w:vAlign w:val="center"/>
          </w:tcPr>
          <w:p>
            <w:pPr>
              <w:spacing w:before="60" w:after="60" w:line="240" w:lineRule="auto"/>
              <w:jc w:val="center"/>
            </w:pPr>
            <w:r>
              <w:rPr>
                <w:b/>
                <w:color w:val="FFFFFF"/>
                <w:sz w:val="19"/>
              </w:rPr>
              <w:t>Wall reduction</w:t>
            </w:r>
          </w:p>
        </w:tc>
      </w:tr>
      <w:tr>
        <w:trPr>
          <w:cantSplit/>
        </w:trPr>
        <w:tc>
          <w:tcPr>
            <w:tcW w:type="dxa" w:w="1512"/>
            <w:shd w:fill="EEF3F8"/>
            <w:vAlign w:val="center"/>
          </w:tcPr>
          <w:p>
            <w:pPr>
              <w:spacing w:before="60" w:after="60" w:line="240" w:lineRule="auto"/>
            </w:pPr>
            <w:r>
              <w:rPr>
                <w:sz w:val="19"/>
              </w:rPr>
              <w:t>x64</w:t>
            </w:r>
          </w:p>
        </w:tc>
        <w:tc>
          <w:tcPr>
            <w:tcW w:type="dxa" w:w="1656"/>
            <w:shd w:fill="EEF3F8"/>
            <w:vAlign w:val="center"/>
          </w:tcPr>
          <w:p>
            <w:pPr>
              <w:spacing w:before="60" w:after="60" w:line="240" w:lineRule="auto"/>
              <w:jc w:val="center"/>
            </w:pPr>
            <w:r>
              <w:rPr>
                <w:sz w:val="19"/>
              </w:rPr>
              <w:t>33.97</w:t>
            </w:r>
          </w:p>
        </w:tc>
        <w:tc>
          <w:tcPr>
            <w:tcW w:type="dxa" w:w="2376"/>
            <w:shd w:fill="EEF3F8"/>
            <w:vAlign w:val="center"/>
          </w:tcPr>
          <w:p>
            <w:pPr>
              <w:spacing w:before="60" w:after="60" w:line="240" w:lineRule="auto"/>
              <w:jc w:val="center"/>
            </w:pPr>
            <w:r>
              <w:rPr>
                <w:sz w:val="19"/>
              </w:rPr>
              <w:t>73.19</w:t>
            </w:r>
          </w:p>
        </w:tc>
        <w:tc>
          <w:tcPr>
            <w:tcW w:type="dxa" w:w="2160"/>
            <w:shd w:fill="EEF3F8"/>
            <w:vAlign w:val="center"/>
          </w:tcPr>
          <w:p>
            <w:pPr>
              <w:spacing w:before="60" w:after="60" w:line="240" w:lineRule="auto"/>
              <w:jc w:val="center"/>
            </w:pPr>
            <w:r>
              <w:rPr>
                <w:sz w:val="19"/>
              </w:rPr>
              <w:t>47.96</w:t>
            </w:r>
          </w:p>
        </w:tc>
        <w:tc>
          <w:tcPr>
            <w:tcW w:type="dxa" w:w="2333"/>
            <w:shd w:fill="EEF3F8"/>
            <w:vAlign w:val="center"/>
          </w:tcPr>
          <w:p>
            <w:pPr>
              <w:spacing w:before="60" w:after="60" w:line="240" w:lineRule="auto"/>
              <w:jc w:val="center"/>
            </w:pPr>
            <w:r>
              <w:rPr>
                <w:sz w:val="19"/>
              </w:rPr>
              <w:t>34.5%</w:t>
            </w:r>
          </w:p>
        </w:tc>
      </w:tr>
      <w:tr>
        <w:trPr>
          <w:cantSplit/>
        </w:trPr>
        <w:tc>
          <w:tcPr>
            <w:tcW w:type="dxa" w:w="1512"/>
            <w:vAlign w:val="center"/>
          </w:tcPr>
          <w:p>
            <w:pPr>
              <w:spacing w:before="60" w:after="60" w:line="240" w:lineRule="auto"/>
            </w:pPr>
            <w:r>
              <w:rPr>
                <w:sz w:val="19"/>
              </w:rPr>
              <w:t>Arm64</w:t>
            </w:r>
          </w:p>
        </w:tc>
        <w:tc>
          <w:tcPr>
            <w:tcW w:type="dxa" w:w="1656"/>
            <w:vAlign w:val="center"/>
          </w:tcPr>
          <w:p>
            <w:pPr>
              <w:spacing w:before="60" w:after="60" w:line="240" w:lineRule="auto"/>
              <w:jc w:val="center"/>
            </w:pPr>
            <w:r>
              <w:rPr>
                <w:sz w:val="19"/>
              </w:rPr>
              <w:t>20.48</w:t>
            </w:r>
          </w:p>
        </w:tc>
        <w:tc>
          <w:tcPr>
            <w:tcW w:type="dxa" w:w="2376"/>
            <w:vAlign w:val="center"/>
          </w:tcPr>
          <w:p>
            <w:pPr>
              <w:spacing w:before="60" w:after="60" w:line="240" w:lineRule="auto"/>
              <w:jc w:val="center"/>
            </w:pPr>
            <w:r>
              <w:rPr>
                <w:sz w:val="19"/>
              </w:rPr>
              <w:t>32.28</w:t>
            </w:r>
          </w:p>
        </w:tc>
        <w:tc>
          <w:tcPr>
            <w:tcW w:type="dxa" w:w="2160"/>
            <w:vAlign w:val="center"/>
          </w:tcPr>
          <w:p>
            <w:pPr>
              <w:spacing w:before="60" w:after="60" w:line="240" w:lineRule="auto"/>
              <w:jc w:val="center"/>
            </w:pPr>
            <w:r>
              <w:rPr>
                <w:sz w:val="19"/>
              </w:rPr>
              <w:t>26.39</w:t>
            </w:r>
          </w:p>
        </w:tc>
        <w:tc>
          <w:tcPr>
            <w:tcW w:type="dxa" w:w="2333"/>
            <w:vAlign w:val="center"/>
          </w:tcPr>
          <w:p>
            <w:pPr>
              <w:spacing w:before="60" w:after="60" w:line="240" w:lineRule="auto"/>
              <w:jc w:val="center"/>
            </w:pPr>
            <w:r>
              <w:rPr>
                <w:sz w:val="19"/>
              </w:rPr>
              <w:t>18.3%</w:t>
            </w:r>
          </w:p>
        </w:tc>
      </w:tr>
    </w:tbl>
    <w:p>
      <w:pPr>
        <w:spacing w:after="80"/>
      </w:pPr>
      <w:r>
        <w:rPr>
          <w:b w:val="0"/>
          <w:sz w:val="18"/>
        </w:rPr>
        <w:t>Direct rustc invocations, no Cargo or external linker; these measure compiler usage, not the time to build Rust itself. They are a controlled workload, not a universal compiler speedup.</w:t>
      </w:r>
    </w:p>
    <w:p>
      <w:pPr>
        <w:spacing w:after="80"/>
      </w:pPr>
      <w:r>
        <w:rPr>
          <w:b/>
          <w:sz w:val="18"/>
        </w:rPr>
        <w:t>IronRDP: complete original five-command native compilation sequence [1]</w:t>
      </w:r>
    </w:p>
    <w:tbl>
      <w:tblPr>
        <w:tblStyle w:val="TableGrid"/>
        <w:tblW w:type="auto" w:w="0"/>
        <w:jc w:val="center"/>
        <w:tblLayout w:type="fixed"/>
        <w:tblLook w:firstColumn="1" w:firstRow="1" w:lastColumn="0" w:lastRow="0" w:noHBand="0" w:noVBand="1" w:val="04A0"/>
      </w:tblPr>
      <w:tblGrid>
        <w:gridCol w:w="2007"/>
        <w:gridCol w:w="2007"/>
        <w:gridCol w:w="2007"/>
        <w:gridCol w:w="2007"/>
        <w:gridCol w:w="2007"/>
      </w:tblGrid>
      <w:tr>
        <w:trPr>
          <w:tblHeader/>
          <w:cantSplit/>
        </w:trPr>
        <w:tc>
          <w:tcPr>
            <w:tcW w:type="dxa" w:w="1512"/>
            <w:shd w:fill="17365D"/>
            <w:vAlign w:val="center"/>
          </w:tcPr>
          <w:p>
            <w:pPr>
              <w:spacing w:before="60" w:after="60" w:line="240" w:lineRule="auto"/>
            </w:pPr>
            <w:r>
              <w:rPr>
                <w:b/>
                <w:color w:val="FFFFFF"/>
                <w:sz w:val="19"/>
              </w:rPr>
              <w:t>Architecture</w:t>
            </w:r>
          </w:p>
        </w:tc>
        <w:tc>
          <w:tcPr>
            <w:tcW w:type="dxa" w:w="1656"/>
            <w:shd w:fill="17365D"/>
            <w:vAlign w:val="center"/>
          </w:tcPr>
          <w:p>
            <w:pPr>
              <w:spacing w:before="60" w:after="60" w:line="240" w:lineRule="auto"/>
              <w:jc w:val="center"/>
            </w:pPr>
            <w:r>
              <w:rPr>
                <w:b/>
                <w:color w:val="FFFFFF"/>
                <w:sz w:val="19"/>
              </w:rPr>
              <w:t>Linux (s)</w:t>
            </w:r>
          </w:p>
        </w:tc>
        <w:tc>
          <w:tcPr>
            <w:tcW w:type="dxa" w:w="2376"/>
            <w:shd w:fill="17365D"/>
            <w:vAlign w:val="center"/>
          </w:tcPr>
          <w:p>
            <w:pPr>
              <w:spacing w:before="60" w:after="60" w:line="240" w:lineRule="auto"/>
              <w:jc w:val="center"/>
            </w:pPr>
            <w:r>
              <w:rPr>
                <w:b/>
                <w:color w:val="FFFFFF"/>
                <w:sz w:val="19"/>
              </w:rPr>
              <w:t>Windows stock (s)</w:t>
            </w:r>
          </w:p>
        </w:tc>
        <w:tc>
          <w:tcPr>
            <w:tcW w:type="dxa" w:w="2160"/>
            <w:shd w:fill="17365D"/>
            <w:vAlign w:val="center"/>
          </w:tcPr>
          <w:p>
            <w:pPr>
              <w:spacing w:before="60" w:after="60" w:line="240" w:lineRule="auto"/>
              <w:jc w:val="center"/>
            </w:pPr>
            <w:r>
              <w:rPr>
                <w:b/>
                <w:color w:val="FFFFFF"/>
                <w:sz w:val="19"/>
              </w:rPr>
              <w:t>Optimized (s)</w:t>
            </w:r>
          </w:p>
        </w:tc>
        <w:tc>
          <w:tcPr>
            <w:tcW w:type="dxa" w:w="2333"/>
            <w:shd w:fill="17365D"/>
            <w:vAlign w:val="center"/>
          </w:tcPr>
          <w:p>
            <w:pPr>
              <w:spacing w:before="60" w:after="60" w:line="240" w:lineRule="auto"/>
              <w:jc w:val="center"/>
            </w:pPr>
            <w:r>
              <w:rPr>
                <w:b/>
                <w:color w:val="FFFFFF"/>
                <w:sz w:val="19"/>
              </w:rPr>
              <w:t>Wall reduction</w:t>
            </w:r>
          </w:p>
        </w:tc>
      </w:tr>
      <w:tr>
        <w:trPr>
          <w:cantSplit/>
        </w:trPr>
        <w:tc>
          <w:tcPr>
            <w:tcW w:type="dxa" w:w="1512"/>
            <w:shd w:fill="EEF3F8"/>
            <w:vAlign w:val="center"/>
          </w:tcPr>
          <w:p>
            <w:pPr>
              <w:spacing w:before="60" w:after="60" w:line="240" w:lineRule="auto"/>
            </w:pPr>
            <w:r>
              <w:rPr>
                <w:sz w:val="19"/>
              </w:rPr>
              <w:t>x64</w:t>
            </w:r>
          </w:p>
        </w:tc>
        <w:tc>
          <w:tcPr>
            <w:tcW w:type="dxa" w:w="1656"/>
            <w:shd w:fill="EEF3F8"/>
            <w:vAlign w:val="center"/>
          </w:tcPr>
          <w:p>
            <w:pPr>
              <w:spacing w:before="60" w:after="60" w:line="240" w:lineRule="auto"/>
              <w:jc w:val="center"/>
            </w:pPr>
            <w:r>
              <w:rPr>
                <w:sz w:val="19"/>
              </w:rPr>
              <w:t>492.93</w:t>
            </w:r>
          </w:p>
        </w:tc>
        <w:tc>
          <w:tcPr>
            <w:tcW w:type="dxa" w:w="2376"/>
            <w:shd w:fill="EEF3F8"/>
            <w:vAlign w:val="center"/>
          </w:tcPr>
          <w:p>
            <w:pPr>
              <w:spacing w:before="60" w:after="60" w:line="240" w:lineRule="auto"/>
              <w:jc w:val="center"/>
            </w:pPr>
            <w:r>
              <w:rPr>
                <w:sz w:val="19"/>
              </w:rPr>
              <w:t>957.41</w:t>
            </w:r>
          </w:p>
        </w:tc>
        <w:tc>
          <w:tcPr>
            <w:tcW w:type="dxa" w:w="2160"/>
            <w:shd w:fill="EEF3F8"/>
            <w:vAlign w:val="center"/>
          </w:tcPr>
          <w:p>
            <w:pPr>
              <w:spacing w:before="60" w:after="60" w:line="240" w:lineRule="auto"/>
              <w:jc w:val="center"/>
            </w:pPr>
            <w:r>
              <w:rPr>
                <w:sz w:val="19"/>
              </w:rPr>
              <w:t>730.64</w:t>
            </w:r>
          </w:p>
        </w:tc>
        <w:tc>
          <w:tcPr>
            <w:tcW w:type="dxa" w:w="2333"/>
            <w:shd w:fill="EEF3F8"/>
            <w:vAlign w:val="center"/>
          </w:tcPr>
          <w:p>
            <w:pPr>
              <w:spacing w:before="60" w:after="60" w:line="240" w:lineRule="auto"/>
              <w:jc w:val="center"/>
            </w:pPr>
            <w:r>
              <w:rPr>
                <w:sz w:val="19"/>
              </w:rPr>
              <w:t>23.7%</w:t>
            </w:r>
          </w:p>
        </w:tc>
      </w:tr>
      <w:tr>
        <w:trPr>
          <w:cantSplit/>
        </w:trPr>
        <w:tc>
          <w:tcPr>
            <w:tcW w:type="dxa" w:w="1512"/>
            <w:vAlign w:val="center"/>
          </w:tcPr>
          <w:p>
            <w:pPr>
              <w:spacing w:before="60" w:after="60" w:line="240" w:lineRule="auto"/>
            </w:pPr>
            <w:r>
              <w:rPr>
                <w:sz w:val="19"/>
              </w:rPr>
              <w:t>Arm64</w:t>
            </w:r>
          </w:p>
        </w:tc>
        <w:tc>
          <w:tcPr>
            <w:tcW w:type="dxa" w:w="1656"/>
            <w:vAlign w:val="center"/>
          </w:tcPr>
          <w:p>
            <w:pPr>
              <w:spacing w:before="60" w:after="60" w:line="240" w:lineRule="auto"/>
              <w:jc w:val="center"/>
            </w:pPr>
            <w:r>
              <w:rPr>
                <w:sz w:val="19"/>
              </w:rPr>
              <w:t>414.16</w:t>
            </w:r>
          </w:p>
        </w:tc>
        <w:tc>
          <w:tcPr>
            <w:tcW w:type="dxa" w:w="2376"/>
            <w:vAlign w:val="center"/>
          </w:tcPr>
          <w:p>
            <w:pPr>
              <w:spacing w:before="60" w:after="60" w:line="240" w:lineRule="auto"/>
              <w:jc w:val="center"/>
            </w:pPr>
            <w:r>
              <w:rPr>
                <w:sz w:val="19"/>
              </w:rPr>
              <w:t>709.64</w:t>
            </w:r>
          </w:p>
        </w:tc>
        <w:tc>
          <w:tcPr>
            <w:tcW w:type="dxa" w:w="2160"/>
            <w:vAlign w:val="center"/>
          </w:tcPr>
          <w:p>
            <w:pPr>
              <w:spacing w:before="60" w:after="60" w:line="240" w:lineRule="auto"/>
              <w:jc w:val="center"/>
            </w:pPr>
            <w:r>
              <w:rPr>
                <w:sz w:val="19"/>
              </w:rPr>
              <w:t>595.99</w:t>
            </w:r>
          </w:p>
        </w:tc>
        <w:tc>
          <w:tcPr>
            <w:tcW w:type="dxa" w:w="2333"/>
            <w:vAlign w:val="center"/>
          </w:tcPr>
          <w:p>
            <w:pPr>
              <w:spacing w:before="60" w:after="60" w:line="240" w:lineRule="auto"/>
              <w:jc w:val="center"/>
            </w:pPr>
            <w:r>
              <w:rPr>
                <w:sz w:val="19"/>
              </w:rPr>
              <w:t>16.0%</w:t>
            </w:r>
          </w:p>
        </w:tc>
      </w:tr>
    </w:tbl>
    <w:p>
      <w:pPr>
        <w:spacing w:after="80"/>
      </w:pPr>
      <w:r>
        <w:rPr>
          <w:b w:val="0"/>
          <w:sz w:val="18"/>
        </w:rPr>
        <w:t>Five VMs per OS, three measured rounds, cold outputs; equal-weight VM means. 95% intervals: x64 21.7-25.3%, Arm64 15.4-16.7%. Optimized Windows remains 48.2% / 43.9% slower than its x64 / Arm64 Linux reference. These later paired baselines, not the initial medians, determine gains; OS hardware is not identical.</w:t>
      </w:r>
    </w:p>
    <w:p>
      <w:r>
        <w:br w:type="page"/>
      </w:r>
    </w:p>
    <w:p>
      <w:pPr>
        <w:pStyle w:val="Heading1"/>
      </w:pPr>
      <w:r>
        <w:t>5. Upstream considerations</w:t>
      </w:r>
    </w:p>
    <w:p>
      <w:r>
        <w:rPr>
          <w:b w:val="0"/>
        </w:rPr>
        <w:t>A direct rollout is not safe within the present job budgets. Full cold Arm64 distribution took 141.82 minutes without the new optimizations. The optimized attempt hit its 350-minute safety deadline during the second LLVM build, before LLVM training, final distribution and tests. The x64 fresh-profile ThinLTO attempt also exhausted 350 minutes; its successful 225.8-minute profile-use build reused profiles and was compiler-only. These failures demonstrate inadequate operational headroom, not a measured failure at exactly the hosted 360-minute hard limit. [3]</w:t>
      </w:r>
    </w:p>
    <w:p>
      <w:r>
        <w:rPr>
          <w:b w:val="0"/>
        </w:rPr>
        <w:t>Optimize distribution jobs only; ordinary compiler tests need not retrain PGO. Release promotion signs and publishes existing CI artifacts rather than rebuilding Rust. Current upstream Rust also has newer LLVM and additional tool training, so the pinned experiment is not a release qualification for current main.</w:t>
      </w:r>
    </w:p>
    <w:p>
      <w:r>
        <w:rPr>
          <w:b w:val="0"/>
        </w:rPr>
        <w:t>The least complex candidate is a larger native runner, with ThinLTO reserved for the final shipping compiler rather than every temporary training build. The Arm64 model projects 182 minutes on 16 vCPUs versus 136 minutes on 32 vCPUs. Four smaller parallel jobs project about 386 minutes elapsed and 475 summed, rounded runner-minutes; they avoid long individual jobs but add transfers, provenance and orchestration. On 32 vCPUs, four jobs project 157 minutes/200 rounded runner-minutes, worse than one job. Two sequential profile-generation/distribution jobs are the simpler fallback. All are unvalidated projections, not linear core-scaling promises. [4]</w:t>
      </w:r>
    </w:p>
    <w:p>
      <w:pPr>
        <w:pStyle w:val="Heading1"/>
      </w:pPr>
      <w:r>
        <w:t>6. Conclusion</w:t>
      </w:r>
    </w:p>
    <w:p>
      <w:r>
        <w:rPr>
          <w:b w:val="0"/>
        </w:rPr>
        <w:t>Recommend qualifying a native Windows Arm64 32-vCPU runner (128 GB RAM, 1.2 TB SSD), with overflow capacity, to approach today's two-hour distribution time. Below are GitHub-hosted Windows compute budgets for each architecture, not physical-machine purchase quotes. [4, 5]</w:t>
      </w:r>
    </w:p>
    <w:tbl>
      <w:tblPr>
        <w:tblStyle w:val="TableGrid"/>
        <w:tblW w:type="auto" w:w="0"/>
        <w:jc w:val="center"/>
        <w:tblLayout w:type="fixed"/>
        <w:tblLook w:firstColumn="1" w:firstRow="1" w:lastColumn="0" w:lastRow="0" w:noHBand="0" w:noVBand="1" w:val="04A0"/>
      </w:tblPr>
      <w:tblGrid>
        <w:gridCol w:w="1673"/>
        <w:gridCol w:w="1673"/>
        <w:gridCol w:w="1673"/>
        <w:gridCol w:w="1673"/>
        <w:gridCol w:w="1673"/>
        <w:gridCol w:w="1673"/>
      </w:tblGrid>
      <w:tr>
        <w:trPr>
          <w:tblHeader/>
          <w:cantSplit/>
        </w:trPr>
        <w:tc>
          <w:tcPr>
            <w:tcW w:type="dxa" w:w="1469"/>
            <w:shd w:fill="17365D"/>
            <w:vAlign w:val="center"/>
          </w:tcPr>
          <w:p>
            <w:pPr>
              <w:spacing w:before="60" w:after="60" w:line="240" w:lineRule="auto"/>
            </w:pPr>
            <w:r>
              <w:rPr>
                <w:b/>
                <w:color w:val="FFFFFF"/>
                <w:sz w:val="19"/>
              </w:rPr>
              <w:t>Runner</w:t>
            </w:r>
          </w:p>
        </w:tc>
        <w:tc>
          <w:tcPr>
            <w:tcW w:type="dxa" w:w="1469"/>
            <w:shd w:fill="17365D"/>
            <w:vAlign w:val="center"/>
          </w:tcPr>
          <w:p>
            <w:pPr>
              <w:spacing w:before="60" w:after="60" w:line="240" w:lineRule="auto"/>
              <w:jc w:val="center"/>
            </w:pPr>
            <w:r>
              <w:rPr>
                <w:b/>
                <w:color w:val="FFFFFF"/>
                <w:sz w:val="19"/>
              </w:rPr>
              <w:t>x64 $/min</w:t>
            </w:r>
          </w:p>
        </w:tc>
        <w:tc>
          <w:tcPr>
            <w:tcW w:type="dxa" w:w="1613"/>
            <w:shd w:fill="17365D"/>
            <w:vAlign w:val="center"/>
          </w:tcPr>
          <w:p>
            <w:pPr>
              <w:spacing w:before="60" w:after="60" w:line="240" w:lineRule="auto"/>
              <w:jc w:val="center"/>
            </w:pPr>
            <w:r>
              <w:rPr>
                <w:b/>
                <w:color w:val="FFFFFF"/>
                <w:sz w:val="19"/>
              </w:rPr>
              <w:t>Arm64 $/min</w:t>
            </w:r>
          </w:p>
        </w:tc>
        <w:tc>
          <w:tcPr>
            <w:tcW w:type="dxa" w:w="1858"/>
            <w:shd w:fill="17365D"/>
            <w:vAlign w:val="center"/>
          </w:tcPr>
          <w:p>
            <w:pPr>
              <w:spacing w:before="60" w:after="60" w:line="240" w:lineRule="auto"/>
              <w:jc w:val="center"/>
            </w:pPr>
            <w:r>
              <w:rPr>
                <w:b/>
                <w:color w:val="FFFFFF"/>
                <w:sz w:val="19"/>
              </w:rPr>
              <w:t>Billed min/build</w:t>
            </w:r>
          </w:p>
        </w:tc>
        <w:tc>
          <w:tcPr>
            <w:tcW w:type="dxa" w:w="1814"/>
            <w:shd w:fill="17365D"/>
            <w:vAlign w:val="center"/>
          </w:tcPr>
          <w:p>
            <w:pPr>
              <w:spacing w:before="60" w:after="60" w:line="240" w:lineRule="auto"/>
              <w:jc w:val="center"/>
            </w:pPr>
            <w:r>
              <w:rPr>
                <w:b/>
                <w:color w:val="FFFFFF"/>
                <w:sz w:val="19"/>
              </w:rPr>
              <w:t>x64 $/year</w:t>
            </w:r>
          </w:p>
        </w:tc>
        <w:tc>
          <w:tcPr>
            <w:tcW w:type="dxa" w:w="1814"/>
            <w:shd w:fill="17365D"/>
            <w:vAlign w:val="center"/>
          </w:tcPr>
          <w:p>
            <w:pPr>
              <w:spacing w:before="60" w:after="60" w:line="240" w:lineRule="auto"/>
              <w:jc w:val="center"/>
            </w:pPr>
            <w:r>
              <w:rPr>
                <w:b/>
                <w:color w:val="FFFFFF"/>
                <w:sz w:val="19"/>
              </w:rPr>
              <w:t>Arm64 $/year</w:t>
            </w:r>
          </w:p>
        </w:tc>
      </w:tr>
      <w:tr>
        <w:trPr>
          <w:cantSplit/>
        </w:trPr>
        <w:tc>
          <w:tcPr>
            <w:tcW w:type="dxa" w:w="1469"/>
            <w:shd w:fill="EEF3F8"/>
            <w:vAlign w:val="center"/>
          </w:tcPr>
          <w:p>
            <w:pPr>
              <w:spacing w:before="60" w:after="60" w:line="240" w:lineRule="auto"/>
            </w:pPr>
            <w:r>
              <w:rPr>
                <w:sz w:val="19"/>
              </w:rPr>
              <w:t>16 vCPU</w:t>
            </w:r>
          </w:p>
        </w:tc>
        <w:tc>
          <w:tcPr>
            <w:tcW w:type="dxa" w:w="1469"/>
            <w:shd w:fill="EEF3F8"/>
            <w:vAlign w:val="center"/>
          </w:tcPr>
          <w:p>
            <w:pPr>
              <w:spacing w:before="60" w:after="60" w:line="240" w:lineRule="auto"/>
              <w:jc w:val="center"/>
            </w:pPr>
            <w:r>
              <w:rPr>
                <w:sz w:val="19"/>
              </w:rPr>
              <w:t>$0.082</w:t>
            </w:r>
          </w:p>
        </w:tc>
        <w:tc>
          <w:tcPr>
            <w:tcW w:type="dxa" w:w="1613"/>
            <w:shd w:fill="EEF3F8"/>
            <w:vAlign w:val="center"/>
          </w:tcPr>
          <w:p>
            <w:pPr>
              <w:spacing w:before="60" w:after="60" w:line="240" w:lineRule="auto"/>
              <w:jc w:val="center"/>
            </w:pPr>
            <w:r>
              <w:rPr>
                <w:sz w:val="19"/>
              </w:rPr>
              <w:t>$0.050</w:t>
            </w:r>
          </w:p>
        </w:tc>
        <w:tc>
          <w:tcPr>
            <w:tcW w:type="dxa" w:w="1858"/>
            <w:shd w:fill="EEF3F8"/>
            <w:vAlign w:val="center"/>
          </w:tcPr>
          <w:p>
            <w:pPr>
              <w:spacing w:before="60" w:after="60" w:line="240" w:lineRule="auto"/>
              <w:jc w:val="center"/>
            </w:pPr>
            <w:r>
              <w:rPr>
                <w:sz w:val="19"/>
              </w:rPr>
              <w:t>183</w:t>
            </w:r>
          </w:p>
        </w:tc>
        <w:tc>
          <w:tcPr>
            <w:tcW w:type="dxa" w:w="1814"/>
            <w:shd w:fill="EEF3F8"/>
            <w:vAlign w:val="center"/>
          </w:tcPr>
          <w:p>
            <w:pPr>
              <w:spacing w:before="60" w:after="60" w:line="240" w:lineRule="auto"/>
              <w:jc w:val="center"/>
            </w:pPr>
            <w:r>
              <w:rPr>
                <w:sz w:val="19"/>
              </w:rPr>
              <w:t>$63,385</w:t>
            </w:r>
          </w:p>
        </w:tc>
        <w:tc>
          <w:tcPr>
            <w:tcW w:type="dxa" w:w="1814"/>
            <w:shd w:fill="EEF3F8"/>
            <w:vAlign w:val="center"/>
          </w:tcPr>
          <w:p>
            <w:pPr>
              <w:spacing w:before="60" w:after="60" w:line="240" w:lineRule="auto"/>
              <w:jc w:val="center"/>
            </w:pPr>
            <w:r>
              <w:rPr>
                <w:sz w:val="19"/>
              </w:rPr>
              <w:t>$38,650</w:t>
            </w:r>
          </w:p>
        </w:tc>
      </w:tr>
      <w:tr>
        <w:trPr>
          <w:cantSplit/>
        </w:trPr>
        <w:tc>
          <w:tcPr>
            <w:tcW w:type="dxa" w:w="1469"/>
            <w:vAlign w:val="center"/>
          </w:tcPr>
          <w:p>
            <w:pPr>
              <w:spacing w:before="60" w:after="60" w:line="240" w:lineRule="auto"/>
            </w:pPr>
            <w:r>
              <w:rPr>
                <w:sz w:val="19"/>
              </w:rPr>
              <w:t>32 vCPU</w:t>
            </w:r>
          </w:p>
        </w:tc>
        <w:tc>
          <w:tcPr>
            <w:tcW w:type="dxa" w:w="1469"/>
            <w:vAlign w:val="center"/>
          </w:tcPr>
          <w:p>
            <w:pPr>
              <w:spacing w:before="60" w:after="60" w:line="240" w:lineRule="auto"/>
              <w:jc w:val="center"/>
            </w:pPr>
            <w:r>
              <w:rPr>
                <w:sz w:val="19"/>
              </w:rPr>
              <w:t>$0.162</w:t>
            </w:r>
          </w:p>
        </w:tc>
        <w:tc>
          <w:tcPr>
            <w:tcW w:type="dxa" w:w="1613"/>
            <w:vAlign w:val="center"/>
          </w:tcPr>
          <w:p>
            <w:pPr>
              <w:spacing w:before="60" w:after="60" w:line="240" w:lineRule="auto"/>
              <w:jc w:val="center"/>
            </w:pPr>
            <w:r>
              <w:rPr>
                <w:sz w:val="19"/>
              </w:rPr>
              <w:t>$0.098</w:t>
            </w:r>
          </w:p>
        </w:tc>
        <w:tc>
          <w:tcPr>
            <w:tcW w:type="dxa" w:w="1858"/>
            <w:vAlign w:val="center"/>
          </w:tcPr>
          <w:p>
            <w:pPr>
              <w:spacing w:before="60" w:after="60" w:line="240" w:lineRule="auto"/>
              <w:jc w:val="center"/>
            </w:pPr>
            <w:r>
              <w:rPr>
                <w:sz w:val="19"/>
              </w:rPr>
              <w:t>136</w:t>
            </w:r>
          </w:p>
        </w:tc>
        <w:tc>
          <w:tcPr>
            <w:tcW w:type="dxa" w:w="1814"/>
            <w:vAlign w:val="center"/>
          </w:tcPr>
          <w:p>
            <w:pPr>
              <w:spacing w:before="60" w:after="60" w:line="240" w:lineRule="auto"/>
              <w:jc w:val="center"/>
            </w:pPr>
            <w:r>
              <w:rPr>
                <w:sz w:val="19"/>
              </w:rPr>
              <w:t>$93,063</w:t>
            </w:r>
          </w:p>
        </w:tc>
        <w:tc>
          <w:tcPr>
            <w:tcW w:type="dxa" w:w="1814"/>
            <w:vAlign w:val="center"/>
          </w:tcPr>
          <w:p>
            <w:pPr>
              <w:spacing w:before="60" w:after="60" w:line="240" w:lineRule="auto"/>
              <w:jc w:val="center"/>
            </w:pPr>
            <w:r>
              <w:rPr>
                <w:sz w:val="19"/>
              </w:rPr>
              <w:t>$56,297</w:t>
            </w:r>
          </w:p>
        </w:tc>
      </w:tr>
    </w:tbl>
    <w:p>
      <w:pPr>
        <w:spacing w:after="80"/>
      </w:pPr>
      <w:r>
        <w:rPr>
          <w:b w:val="0"/>
          <w:sz w:val="18"/>
        </w:rPr>
        <w:t>Assumes 4,224 attempts/year per architecture, each completed in full. Volume and duration assumptions come from Arm64; x64 is an equal-workload price comparison, not an independently validated forecast. The 16-vCPU model rounds up to 183 billed minutes; 32-vCPU to 136. Neither larger runner has been measured. Annual figures use the rounded 4,224 rate, so differ slightly from the original model.</w:t>
      </w:r>
    </w:p>
    <w:p>
      <w:pPr>
        <w:spacing w:after="80"/>
      </w:pPr>
      <w:r>
        <w:rPr>
          <w:b w:val="0"/>
          <w:sz w:val="18"/>
        </w:rPr>
        <w:t>With historical cancellations, the 32-vCPU central budget is about $40k-$56k/year for Arm64 and $66k-$93k for identical occupied time on x64. Arm64's original model needs 406,662-573,459 occupied minutes/year; full-attempt demand exceeds one machine's capacity. Provide overflow; keep ordinary CI elsewhere. These are total compute costs, not increases over today's bill; storage, plan fees and tax are excluded.</w:t>
      </w:r>
    </w:p>
    <w:p>
      <w:r>
        <w:rPr>
          <w:b/>
        </w:rPr>
        <w:t>Potential savings across GitHub projects - illustrative, not a measured global forecast</w:t>
      </w:r>
    </w:p>
    <w:p>
      <w:pPr>
        <w:spacing w:after="80"/>
      </w:pPr>
      <w:r>
        <w:rPr>
          <w:b w:val="0"/>
          <w:sz w:val="18"/>
        </w:rPr>
        <w:t>Scenario: 10 million eligible compilation minutes/year across adopting projects, 80% x64 / 20% Arm64, with IronRDP's gains transferring. Dollar equivalents use paid four-vCPU Windows rates: $0.022 x64 / $0.014 Arm64, not the larger compiler-production rates above. [5]</w:t>
      </w:r>
    </w:p>
    <w:tbl>
      <w:tblPr>
        <w:tblStyle w:val="TableGrid"/>
        <w:tblW w:type="auto" w:w="0"/>
        <w:jc w:val="center"/>
        <w:tblLayout w:type="fixed"/>
        <w:tblLook w:firstColumn="1" w:firstRow="1" w:lastColumn="0" w:lastRow="0" w:noHBand="0" w:noVBand="1" w:val="04A0"/>
      </w:tblPr>
      <w:tblGrid>
        <w:gridCol w:w="2509"/>
        <w:gridCol w:w="2509"/>
        <w:gridCol w:w="2509"/>
        <w:gridCol w:w="2509"/>
      </w:tblGrid>
      <w:tr>
        <w:trPr>
          <w:tblHeader/>
          <w:cantSplit/>
        </w:trPr>
        <w:tc>
          <w:tcPr>
            <w:tcW w:type="dxa" w:w="1800"/>
            <w:shd w:fill="17365D"/>
            <w:vAlign w:val="center"/>
          </w:tcPr>
          <w:p>
            <w:pPr>
              <w:spacing w:before="60" w:after="60" w:line="240" w:lineRule="auto"/>
            </w:pPr>
            <w:r>
              <w:rPr>
                <w:b/>
                <w:color w:val="FFFFFF"/>
                <w:sz w:val="19"/>
              </w:rPr>
              <w:t>Architecture</w:t>
            </w:r>
          </w:p>
        </w:tc>
        <w:tc>
          <w:tcPr>
            <w:tcW w:type="dxa" w:w="2736"/>
            <w:shd w:fill="17365D"/>
            <w:vAlign w:val="center"/>
          </w:tcPr>
          <w:p>
            <w:pPr>
              <w:spacing w:before="60" w:after="60" w:line="240" w:lineRule="auto"/>
              <w:jc w:val="center"/>
            </w:pPr>
            <w:r>
              <w:rPr>
                <w:b/>
                <w:color w:val="FFFFFF"/>
                <w:sz w:val="19"/>
              </w:rPr>
              <w:t>Baseline min/year</w:t>
            </w:r>
          </w:p>
        </w:tc>
        <w:tc>
          <w:tcPr>
            <w:tcW w:type="dxa" w:w="2664"/>
            <w:shd w:fill="17365D"/>
            <w:vAlign w:val="center"/>
          </w:tcPr>
          <w:p>
            <w:pPr>
              <w:spacing w:before="60" w:after="60" w:line="240" w:lineRule="auto"/>
              <w:jc w:val="center"/>
            </w:pPr>
            <w:r>
              <w:rPr>
                <w:b/>
                <w:color w:val="FFFFFF"/>
                <w:sz w:val="19"/>
              </w:rPr>
              <w:t>Saved min/year</w:t>
            </w:r>
          </w:p>
        </w:tc>
        <w:tc>
          <w:tcPr>
            <w:tcW w:type="dxa" w:w="2837"/>
            <w:shd w:fill="17365D"/>
            <w:vAlign w:val="center"/>
          </w:tcPr>
          <w:p>
            <w:pPr>
              <w:spacing w:before="60" w:after="60" w:line="240" w:lineRule="auto"/>
              <w:jc w:val="center"/>
            </w:pPr>
            <w:r>
              <w:rPr>
                <w:b/>
                <w:color w:val="FFFFFF"/>
                <w:sz w:val="19"/>
              </w:rPr>
              <w:t>Gross $/year saved</w:t>
            </w:r>
          </w:p>
        </w:tc>
      </w:tr>
      <w:tr>
        <w:trPr>
          <w:cantSplit/>
        </w:trPr>
        <w:tc>
          <w:tcPr>
            <w:tcW w:type="dxa" w:w="1800"/>
            <w:shd w:fill="EEF3F8"/>
            <w:vAlign w:val="center"/>
          </w:tcPr>
          <w:p>
            <w:pPr>
              <w:spacing w:before="60" w:after="60" w:line="240" w:lineRule="auto"/>
            </w:pPr>
            <w:r>
              <w:rPr>
                <w:sz w:val="19"/>
              </w:rPr>
              <w:t>x64</w:t>
            </w:r>
          </w:p>
        </w:tc>
        <w:tc>
          <w:tcPr>
            <w:tcW w:type="dxa" w:w="2736"/>
            <w:shd w:fill="EEF3F8"/>
            <w:vAlign w:val="center"/>
          </w:tcPr>
          <w:p>
            <w:pPr>
              <w:spacing w:before="60" w:after="60" w:line="240" w:lineRule="auto"/>
              <w:jc w:val="center"/>
            </w:pPr>
            <w:r>
              <w:rPr>
                <w:sz w:val="19"/>
              </w:rPr>
              <w:t>8,000,000</w:t>
            </w:r>
          </w:p>
        </w:tc>
        <w:tc>
          <w:tcPr>
            <w:tcW w:type="dxa" w:w="2664"/>
            <w:shd w:fill="EEF3F8"/>
            <w:vAlign w:val="center"/>
          </w:tcPr>
          <w:p>
            <w:pPr>
              <w:spacing w:before="60" w:after="60" w:line="240" w:lineRule="auto"/>
              <w:jc w:val="center"/>
            </w:pPr>
            <w:r>
              <w:rPr>
                <w:sz w:val="19"/>
              </w:rPr>
              <w:t>1,894,869</w:t>
            </w:r>
          </w:p>
        </w:tc>
        <w:tc>
          <w:tcPr>
            <w:tcW w:type="dxa" w:w="2837"/>
            <w:shd w:fill="EEF3F8"/>
            <w:vAlign w:val="center"/>
          </w:tcPr>
          <w:p>
            <w:pPr>
              <w:spacing w:before="60" w:after="60" w:line="240" w:lineRule="auto"/>
              <w:jc w:val="center"/>
            </w:pPr>
            <w:r>
              <w:rPr>
                <w:sz w:val="19"/>
              </w:rPr>
              <w:t>$41,687</w:t>
            </w:r>
          </w:p>
        </w:tc>
      </w:tr>
      <w:tr>
        <w:trPr>
          <w:cantSplit/>
        </w:trPr>
        <w:tc>
          <w:tcPr>
            <w:tcW w:type="dxa" w:w="1800"/>
            <w:vAlign w:val="center"/>
          </w:tcPr>
          <w:p>
            <w:pPr>
              <w:spacing w:before="60" w:after="60" w:line="240" w:lineRule="auto"/>
            </w:pPr>
            <w:r>
              <w:rPr>
                <w:sz w:val="19"/>
              </w:rPr>
              <w:t>Arm64</w:t>
            </w:r>
          </w:p>
        </w:tc>
        <w:tc>
          <w:tcPr>
            <w:tcW w:type="dxa" w:w="2736"/>
            <w:vAlign w:val="center"/>
          </w:tcPr>
          <w:p>
            <w:pPr>
              <w:spacing w:before="60" w:after="60" w:line="240" w:lineRule="auto"/>
              <w:jc w:val="center"/>
            </w:pPr>
            <w:r>
              <w:rPr>
                <w:sz w:val="19"/>
              </w:rPr>
              <w:t>2,000,000</w:t>
            </w:r>
          </w:p>
        </w:tc>
        <w:tc>
          <w:tcPr>
            <w:tcW w:type="dxa" w:w="2664"/>
            <w:vAlign w:val="center"/>
          </w:tcPr>
          <w:p>
            <w:pPr>
              <w:spacing w:before="60" w:after="60" w:line="240" w:lineRule="auto"/>
              <w:jc w:val="center"/>
            </w:pPr>
            <w:r>
              <w:rPr>
                <w:sz w:val="19"/>
              </w:rPr>
              <w:t>320,311</w:t>
            </w:r>
          </w:p>
        </w:tc>
        <w:tc>
          <w:tcPr>
            <w:tcW w:type="dxa" w:w="2837"/>
            <w:vAlign w:val="center"/>
          </w:tcPr>
          <w:p>
            <w:pPr>
              <w:spacing w:before="60" w:after="60" w:line="240" w:lineRule="auto"/>
              <w:jc w:val="center"/>
            </w:pPr>
            <w:r>
              <w:rPr>
                <w:sz w:val="19"/>
              </w:rPr>
              <w:t>$4,484</w:t>
            </w:r>
          </w:p>
        </w:tc>
      </w:tr>
      <w:tr>
        <w:trPr>
          <w:cantSplit/>
        </w:trPr>
        <w:tc>
          <w:tcPr>
            <w:tcW w:type="dxa" w:w="1800"/>
            <w:shd w:fill="EEF3F8"/>
            <w:vAlign w:val="center"/>
          </w:tcPr>
          <w:p>
            <w:pPr>
              <w:spacing w:before="60" w:after="60" w:line="240" w:lineRule="auto"/>
            </w:pPr>
            <w:r>
              <w:rPr>
                <w:sz w:val="19"/>
              </w:rPr>
              <w:t>Total</w:t>
            </w:r>
          </w:p>
        </w:tc>
        <w:tc>
          <w:tcPr>
            <w:tcW w:type="dxa" w:w="2736"/>
            <w:shd w:fill="EEF3F8"/>
            <w:vAlign w:val="center"/>
          </w:tcPr>
          <w:p>
            <w:pPr>
              <w:spacing w:before="60" w:after="60" w:line="240" w:lineRule="auto"/>
              <w:jc w:val="center"/>
            </w:pPr>
            <w:r>
              <w:rPr>
                <w:sz w:val="19"/>
              </w:rPr>
              <w:t>10,000,000</w:t>
            </w:r>
          </w:p>
        </w:tc>
        <w:tc>
          <w:tcPr>
            <w:tcW w:type="dxa" w:w="2664"/>
            <w:shd w:fill="EEF3F8"/>
            <w:vAlign w:val="center"/>
          </w:tcPr>
          <w:p>
            <w:pPr>
              <w:spacing w:before="60" w:after="60" w:line="240" w:lineRule="auto"/>
              <w:jc w:val="center"/>
            </w:pPr>
            <w:r>
              <w:rPr>
                <w:sz w:val="19"/>
              </w:rPr>
              <w:t>2,215,179</w:t>
            </w:r>
          </w:p>
        </w:tc>
        <w:tc>
          <w:tcPr>
            <w:tcW w:type="dxa" w:w="2837"/>
            <w:shd w:fill="EEF3F8"/>
            <w:vAlign w:val="center"/>
          </w:tcPr>
          <w:p>
            <w:pPr>
              <w:spacing w:before="60" w:after="60" w:line="240" w:lineRule="auto"/>
              <w:jc w:val="center"/>
            </w:pPr>
            <w:r>
              <w:rPr>
                <w:sz w:val="19"/>
              </w:rPr>
              <w:t>$46,171</w:t>
            </w:r>
          </w:p>
        </w:tc>
      </w:tr>
    </w:tbl>
    <w:p>
      <w:pPr>
        <w:spacing w:after="80"/>
      </w:pPr>
      <w:r>
        <w:rPr>
          <w:b w:val="0"/>
          <w:sz w:val="18"/>
        </w:rPr>
        <w:t>At 100 million baseline minutes with the same mix: 22.15 million minutes / $461,715 gross savings. No global workload or adoption volume was measured; these are scenarios, before upstream production costs. Savings scale as Mx64 x 23.7% + MArm64 x 16.0% for affected compile minutes. Warm builds, job critical paths and billing rounding may reduce savings. Public standard runners are free: saved time there is capacity, not customer cash.</w:t>
      </w:r>
    </w:p>
    <w:p>
      <w:pPr>
        <w:pStyle w:val="Heading2"/>
      </w:pPr>
      <w:r>
        <w:t>Evidence and references</w:t>
      </w:r>
    </w:p>
    <w:p>
      <w:pPr>
        <w:spacing w:after="40"/>
      </w:pPr>
      <w:r>
        <w:rPr>
          <w:b w:val="0"/>
          <w:sz w:val="17"/>
        </w:rPr>
        <w:t xml:space="preserve">[1] Initial benchmark; optimization audit and final native results: </w:t>
      </w:r>
      <w:hyperlink r:id="rId9">
        <w:r>
          <w:rPr>
            <w:color w:val="175A91"/>
            <w:sz w:val="17"/>
          </w:rPr>
          <w:t>initial matrix</w:t>
        </w:r>
      </w:hyperlink>
      <w:r>
        <w:rPr>
          <w:sz w:val="17"/>
        </w:rPr>
        <w:t xml:space="preserve"> | </w:t>
      </w:r>
      <w:hyperlink r:id="rId10">
        <w:r>
          <w:rPr>
            <w:color w:val="175A91"/>
            <w:sz w:val="17"/>
          </w:rPr>
          <w:t>combined findings</w:t>
        </w:r>
      </w:hyperlink>
    </w:p>
    <w:p>
      <w:pPr>
        <w:spacing w:after="40"/>
      </w:pPr>
      <w:r>
        <w:rPr>
          <w:b w:val="0"/>
          <w:sz w:val="17"/>
        </w:rPr>
        <w:t xml:space="preserve">[2] Compiler-isolation results: </w:t>
      </w:r>
      <w:hyperlink r:id="rId11">
        <w:r>
          <w:rPr>
            <w:color w:val="175A91"/>
            <w:sz w:val="17"/>
          </w:rPr>
          <w:t>Arm64</w:t>
        </w:r>
      </w:hyperlink>
      <w:r>
        <w:rPr>
          <w:sz w:val="17"/>
        </w:rPr>
        <w:t xml:space="preserve"> | </w:t>
      </w:r>
      <w:hyperlink r:id="rId12">
        <w:r>
          <w:rPr>
            <w:color w:val="175A91"/>
            <w:sz w:val="17"/>
          </w:rPr>
          <w:t>x64</w:t>
        </w:r>
      </w:hyperlink>
    </w:p>
    <w:p>
      <w:pPr>
        <w:spacing w:after="40"/>
      </w:pPr>
      <w:r>
        <w:rPr>
          <w:b w:val="0"/>
          <w:sz w:val="17"/>
        </w:rPr>
        <w:t xml:space="preserve">[3] Production feasibility and x64 build history: </w:t>
      </w:r>
      <w:hyperlink r:id="rId13">
        <w:r>
          <w:rPr>
            <w:color w:val="175A91"/>
            <w:sz w:val="17"/>
          </w:rPr>
          <w:t>Arm64 outcome</w:t>
        </w:r>
      </w:hyperlink>
      <w:r>
        <w:rPr>
          <w:sz w:val="17"/>
        </w:rPr>
        <w:t xml:space="preserve"> | </w:t>
      </w:r>
      <w:hyperlink r:id="rId14">
        <w:r>
          <w:rPr>
            <w:color w:val="175A91"/>
            <w:sz w:val="17"/>
          </w:rPr>
          <w:t>x64 history</w:t>
        </w:r>
      </w:hyperlink>
    </w:p>
    <w:p>
      <w:pPr>
        <w:spacing w:after="40"/>
      </w:pPr>
      <w:r>
        <w:rPr>
          <w:b w:val="0"/>
          <w:sz w:val="17"/>
        </w:rPr>
        <w:t xml:space="preserve">[4] Conditional scaling, upstream volume and annual cost: </w:t>
      </w:r>
      <w:hyperlink r:id="rId15">
        <w:r>
          <w:rPr>
            <w:color w:val="175A91"/>
            <w:sz w:val="17"/>
          </w:rPr>
          <w:t>runner proposal</w:t>
        </w:r>
      </w:hyperlink>
      <w:r>
        <w:rPr>
          <w:sz w:val="17"/>
        </w:rPr>
        <w:t xml:space="preserve"> | </w:t>
      </w:r>
      <w:hyperlink r:id="rId16">
        <w:r>
          <w:rPr>
            <w:color w:val="175A91"/>
            <w:sz w:val="17"/>
          </w:rPr>
          <w:t>annual capacity</w:t>
        </w:r>
      </w:hyperlink>
    </w:p>
    <w:p>
      <w:pPr>
        <w:spacing w:after="40"/>
      </w:pPr>
      <w:r>
        <w:rPr>
          <w:b w:val="0"/>
          <w:sz w:val="17"/>
        </w:rPr>
        <w:t xml:space="preserve">[5] Official reference, pricing checked 7 October 2026: </w:t>
      </w:r>
      <w:hyperlink r:id="rId17">
        <w:r>
          <w:rPr>
            <w:color w:val="175A91"/>
            <w:sz w:val="17"/>
          </w:rPr>
          <w:t>GitHub runner pricing</w:t>
        </w:r>
      </w:hyperlink>
    </w:p>
    <w:sectPr w:rsidR="00FC693F" w:rsidRPr="0006063C" w:rsidSect="00034616">
      <w:footerReference w:type="default" r:id="rId18"/>
      <w:pgSz w:w="11909" w:h="16834"/>
      <w:pgMar w:top="835" w:right="936" w:bottom="835"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Windows Rust investigation | Updated 7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17365D"/>
      <w:sz w:val="2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7365D"/>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arcpems/IronRDP-ci-benchmark/blob/bed1f1dd452939fb97724c06413225ee0ab30f8d/ci-benchmark/REPORT.md" TargetMode="External"/><Relationship Id="rId10" Type="http://schemas.openxmlformats.org/officeDocument/2006/relationships/hyperlink" Target="https://github.com/marcpems/IronRDP-ci-benchmark/blob/bed1f1dd452939fb97724c06413225ee0ab30f8d/ci-benchmark/COMBINED-REPORT.md" TargetMode="External"/><Relationship Id="rId11" Type="http://schemas.openxmlformats.org/officeDocument/2006/relationships/hyperlink" Target="https://github.com/marcpems/IronRDP-ci-benchmark/blob/bed1f1dd452939fb97724c06413225ee0ab30f8d/ci-benchmark/ARM64-AB-RESULTS.md" TargetMode="External"/><Relationship Id="rId12" Type="http://schemas.openxmlformats.org/officeDocument/2006/relationships/hyperlink" Target="https://github.com/marcpems/IronRDP-ci-benchmark/blob/bed1f1dd452939fb97724c06413225ee0ab30f8d/ci-benchmark/X64-COMPILER-RESULTS.md" TargetMode="External"/><Relationship Id="rId13" Type="http://schemas.openxmlformats.org/officeDocument/2006/relationships/hyperlink" Target="https://github.com/marcpems/IronRDP-ci-benchmark/blob/bc3bd4458c638dcfa345ee39b93c751af73bd800/arm-feasibility/FEASIBILITY.md" TargetMode="External"/><Relationship Id="rId14" Type="http://schemas.openxmlformats.org/officeDocument/2006/relationships/hyperlink" Target="https://github.com/marcpems/IronRDP-ci-benchmark/blob/bed1f1dd452939fb97724c06413225ee0ab30f8d/ci-benchmark/WINDOWS-X64-OPTIMIZATION.md" TargetMode="External"/><Relationship Id="rId15" Type="http://schemas.openxmlformats.org/officeDocument/2006/relationships/hyperlink" Target="https://github.com/marcpems/IronRDP-ci-benchmark/blob/2544d04c69ae2e5382dae9be773cca62bb58e815/ci-benchmark/build-time/BALANCED-PROPOSAL.md" TargetMode="External"/><Relationship Id="rId16" Type="http://schemas.openxmlformats.org/officeDocument/2006/relationships/hyperlink" Target="https://github.com/marcpems/IronRDP-ci-benchmark/blob/2544d04c69ae2e5382dae9be773cca62bb58e815/ci-benchmark/build-time/ANNUAL-CAPACITY.md" TargetMode="External"/><Relationship Id="rId17" Type="http://schemas.openxmlformats.org/officeDocument/2006/relationships/hyperlink" Target="https://docs.github.com/en/billing/reference/actions-runner-pricing" TargetMode="External"/><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Windows Rust compiler performance: investigation summary</dc:title>
  <dc:subject>IronRDP validation, Rust optimization parity and upstream runner feasibility</dc:subject>
  <dc:creator>IronRDP Windows compiler investigation</dc:creator>
  <cp:keywords>Rust, Windows, Arm64, x64, IronRDP, PGO, ThinLTO, GitHub Actions</cp:keywords>
  <dc:description>generated by python-docx</dc:description>
  <cp:lastModifiedBy/>
  <cp:revision>1</cp:revision>
  <dcterms:created xsi:type="dcterms:W3CDTF">2013-12-23T23:15:00Z</dcterms:created>
  <dcterms:modified xsi:type="dcterms:W3CDTF">2013-12-23T23:15:00Z</dcterms:modified>
  <cp:category/>
</cp:coreProperties>
</file>