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Rust release cost versus IronRDP savings</w:t>
      </w:r>
    </w:p>
    <w:p>
      <w:r>
        <w:t>PRELIMINARY: separate self-hosted pilots, one qualified build per recipe and one paired IronRDP round. Observed percentages only; no confidence intervals or hosted-runner claims.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68"/>
        <w:gridCol w:w="2568"/>
        <w:gridCol w:w="2568"/>
        <w:gridCol w:w="2568"/>
        <w:gridCol w:w="2568"/>
        <w:gridCol w:w="2568"/>
      </w:tblGrid>
      <w:tr>
        <w:tc>
          <w:tcPr>
            <w:tcW w:type="dxa" w:w="4608"/>
          </w:tcPr>
          <w:p>
            <w:r>
              <w:t>Machine / recipe</w:t>
            </w:r>
          </w:p>
        </w:tc>
        <w:tc>
          <w:tcPr>
            <w:tcW w:type="dxa" w:w="2304"/>
          </w:tcPr>
          <w:p>
            <w:r>
              <w:t>Production min</w:t>
              <w:br/>
              <w:t>(increase)</w:t>
            </w:r>
          </w:p>
        </w:tc>
        <w:tc>
          <w:tcPr>
            <w:tcW w:type="dxa" w:w="2304"/>
          </w:tcPr>
          <w:p>
            <w:r>
              <w:t>Whole job min</w:t>
              <w:br/>
              <w:t>(increase)</w:t>
            </w:r>
          </w:p>
        </w:tc>
        <w:tc>
          <w:tcPr>
            <w:tcW w:type="dxa" w:w="1584"/>
          </w:tcPr>
          <w:p>
            <w:r>
              <w:t>Cleanup min</w:t>
              <w:br/>
              <w:t>within job</w:t>
            </w:r>
          </w:p>
        </w:tc>
        <w:tc>
          <w:tcPr>
            <w:tcW w:type="dxa" w:w="2304"/>
          </w:tcPr>
          <w:p>
            <w:r>
              <w:t>IronRDP sec</w:t>
            </w:r>
          </w:p>
        </w:tc>
        <w:tc>
          <w:tcPr>
            <w:tcW w:type="dxa" w:w="2304"/>
          </w:tcPr>
          <w:p>
            <w:r>
              <w:t>Compile saving</w:t>
            </w:r>
          </w:p>
        </w:tc>
      </w:tr>
      <w:tr>
        <w:tc>
          <w:tcPr>
            <w:tcW w:type="dxa" w:w="4608"/>
          </w:tcPr>
          <w:p>
            <w:r>
              <w:t>GB300-Arm64 / 64 CPUs</w:t>
              <w:br/>
              <w:t>No PGO</w:t>
            </w:r>
          </w:p>
        </w:tc>
        <w:tc>
          <w:tcPr>
            <w:tcW w:type="dxa" w:w="2304"/>
          </w:tcPr>
          <w:p>
            <w:r>
              <w:t>138.5</w:t>
              <w:br/>
              <w:t>Reference</w:t>
            </w:r>
          </w:p>
        </w:tc>
        <w:tc>
          <w:tcPr>
            <w:tcW w:type="dxa" w:w="2304"/>
          </w:tcPr>
          <w:p>
            <w:r>
              <w:t>168.1</w:t>
              <w:br/>
              <w:t>Reference</w:t>
            </w:r>
          </w:p>
        </w:tc>
        <w:tc>
          <w:tcPr>
            <w:tcW w:type="dxa" w:w="1584"/>
          </w:tcPr>
          <w:p>
            <w:r>
              <w:t>0.0</w:t>
            </w:r>
          </w:p>
        </w:tc>
        <w:tc>
          <w:tcPr>
            <w:tcW w:type="dxa" w:w="2304"/>
          </w:tcPr>
          <w:p>
            <w:r>
              <w:t>200.3</w:t>
            </w:r>
          </w:p>
        </w:tc>
        <w:tc>
          <w:tcPr>
            <w:tcW w:type="dxa" w:w="2304"/>
          </w:tcPr>
          <w:p>
            <w:r>
              <w:t>Reference</w:t>
            </w:r>
          </w:p>
        </w:tc>
      </w:tr>
      <w:tr>
        <w:tc>
          <w:tcPr>
            <w:tcW w:type="dxa" w:w="4608"/>
          </w:tcPr>
          <w:p>
            <w:r>
              <w:t>GB300-Arm64 / 64 CPUs</w:t>
              <w:br/>
              <w:t>PGO / Microsoft retained</w:t>
            </w:r>
          </w:p>
        </w:tc>
        <w:tc>
          <w:tcPr>
            <w:tcW w:type="dxa" w:w="2304"/>
          </w:tcPr>
          <w:p>
            <w:r>
              <w:t>182.6</w:t>
              <w:br/>
              <w:t>+31.8%</w:t>
            </w:r>
          </w:p>
        </w:tc>
        <w:tc>
          <w:tcPr>
            <w:tcW w:type="dxa" w:w="2304"/>
          </w:tcPr>
          <w:p>
            <w:r>
              <w:t>215.2</w:t>
              <w:br/>
              <w:t>+28.1%</w:t>
            </w:r>
          </w:p>
        </w:tc>
        <w:tc>
          <w:tcPr>
            <w:tcW w:type="dxa" w:w="1584"/>
          </w:tcPr>
          <w:p>
            <w:r>
              <w:t>3.6</w:t>
            </w:r>
          </w:p>
        </w:tc>
        <w:tc>
          <w:tcPr>
            <w:tcW w:type="dxa" w:w="2304"/>
          </w:tcPr>
          <w:p>
            <w:r>
              <w:t>157.3</w:t>
            </w:r>
          </w:p>
        </w:tc>
        <w:tc>
          <w:tcPr>
            <w:tcW w:type="dxa" w:w="2304"/>
          </w:tcPr>
          <w:p>
            <w:r>
              <w:t>21.5%</w:t>
            </w:r>
          </w:p>
        </w:tc>
      </w:tr>
      <w:tr>
        <w:tc>
          <w:tcPr>
            <w:tcW w:type="dxa" w:w="4608"/>
          </w:tcPr>
          <w:p>
            <w:r>
              <w:t>GB300-Arm64 / 64 CPUs</w:t>
              <w:br/>
              <w:t>PGO + ThinLTO / LLVM</w:t>
            </w:r>
          </w:p>
        </w:tc>
        <w:tc>
          <w:tcPr>
            <w:tcW w:type="dxa" w:w="2304"/>
          </w:tcPr>
          <w:p>
            <w:r>
              <w:t>203.3</w:t>
              <w:br/>
              <w:t>+46.8%</w:t>
            </w:r>
          </w:p>
        </w:tc>
        <w:tc>
          <w:tcPr>
            <w:tcW w:type="dxa" w:w="2304"/>
          </w:tcPr>
          <w:p>
            <w:r>
              <w:t>236.2</w:t>
              <w:br/>
              <w:t>+40.5%</w:t>
            </w:r>
          </w:p>
        </w:tc>
        <w:tc>
          <w:tcPr>
            <w:tcW w:type="dxa" w:w="1584"/>
          </w:tcPr>
          <w:p>
            <w:r>
              <w:t>4.0</w:t>
            </w:r>
          </w:p>
        </w:tc>
        <w:tc>
          <w:tcPr>
            <w:tcW w:type="dxa" w:w="2304"/>
          </w:tcPr>
          <w:p>
            <w:r>
              <w:t>156.3</w:t>
            </w:r>
          </w:p>
        </w:tc>
        <w:tc>
          <w:tcPr>
            <w:tcW w:type="dxa" w:w="2304"/>
          </w:tcPr>
          <w:p>
            <w:r>
              <w:t>22.0%</w:t>
            </w:r>
          </w:p>
        </w:tc>
      </w:tr>
    </w:tbl>
    <w:p>
      <w:r>
        <w:t>Production includes fresh full-tool PGO training and the full distribution, tools/docs/MSI (also Arm64EC on Arm64), not just compilation. Whole jobs additionally include setup, verification, uploads and the displayed cleanup. Historical baseline recovery was outside its job; therefore whole-job increases also include this maintenance-policy difference.</w:t>
      </w:r>
    </w:p>
    <w:p>
      <w:r>
        <w:t>IronRDP sums the five original native offline Cargo commands; setup, downloads and correctness tests are outside timing. All recipes use the actual released compiler, common baseline Cargo/std and identical native tools within each machine. Positive saving means faster compilation.</w:t>
      </w:r>
    </w:p>
    <w:p>
      <w:r>
        <w:t>Limits: controlled no-PGO baseline, not the shipped x64 PGO recipe. No pooling across machines or comparison of CPU architectures. Pilots do not fulfill the preregistered repeated hosted study. Timed-out or offline-runner cells are excluded, never treated as completed builds.</w:t>
      </w:r>
    </w:p>
    <w:p>
      <w:r>
        <w:t>self-hosted-arm64-highcore: baseline: 38282254692, msvc-pgo: 38368036985, llvm-pgo-thin: 38397813994; IronRDP 38441909371. Rust 7db17d9b5bbe; github.com/marcpems/IronRDP-ci-benchmark</w:t>
      </w:r>
    </w:p>
    <w:p>
      <w:r>
        <w:t>Correctness caveat: first replay 38431290827 failed Microsoft-PGO UDP tunnel shutdown. Cause remains unexplained. Isolated and full-suite diagnostics subsequently passed for all recipes. This report uses only fresh complete replay 38441909371; no failed-run blocks were reused.</w:t>
      </w:r>
    </w:p>
    <w:sectPr w:rsidR="00FC693F" w:rsidRPr="0006063C" w:rsidSect="00034616">
      <w:pgSz w:w="16848" w:h="11952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